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4C" w:rsidRPr="00506A67" w:rsidRDefault="00CF614C" w:rsidP="00E33638">
      <w:pPr>
        <w:jc w:val="center"/>
        <w:rPr>
          <w:b/>
          <w:sz w:val="27"/>
          <w:szCs w:val="27"/>
        </w:rPr>
      </w:pPr>
      <w:r w:rsidRPr="00506A67">
        <w:rPr>
          <w:b/>
          <w:sz w:val="27"/>
          <w:szCs w:val="27"/>
        </w:rPr>
        <w:t>ПОЯСНИТЕЛЬНАЯ ЗАПИСКА</w:t>
      </w:r>
    </w:p>
    <w:p w:rsidR="00456B2D" w:rsidRPr="000231E2" w:rsidRDefault="00A5269F" w:rsidP="005B1F47">
      <w:pPr>
        <w:ind w:right="-284"/>
        <w:jc w:val="center"/>
        <w:rPr>
          <w:b/>
          <w:sz w:val="28"/>
          <w:szCs w:val="28"/>
        </w:rPr>
      </w:pPr>
      <w:r w:rsidRPr="000231E2">
        <w:rPr>
          <w:b/>
          <w:sz w:val="28"/>
          <w:szCs w:val="28"/>
        </w:rPr>
        <w:t xml:space="preserve">к проекту </w:t>
      </w:r>
      <w:r w:rsidR="007A23B2" w:rsidRPr="000231E2">
        <w:rPr>
          <w:b/>
          <w:sz w:val="28"/>
          <w:szCs w:val="28"/>
        </w:rPr>
        <w:t>закона Удмуртской Республики «</w:t>
      </w:r>
      <w:r w:rsidR="00456B2D" w:rsidRPr="000231E2">
        <w:rPr>
          <w:b/>
          <w:sz w:val="28"/>
          <w:szCs w:val="28"/>
        </w:rPr>
        <w:t xml:space="preserve">О внесении изменений </w:t>
      </w:r>
    </w:p>
    <w:p w:rsidR="007A23B2" w:rsidRPr="000231E2" w:rsidRDefault="00456B2D" w:rsidP="005B1F47">
      <w:pPr>
        <w:ind w:right="-284"/>
        <w:jc w:val="center"/>
        <w:rPr>
          <w:b/>
          <w:sz w:val="28"/>
          <w:szCs w:val="28"/>
        </w:rPr>
      </w:pPr>
      <w:r w:rsidRPr="000231E2">
        <w:rPr>
          <w:b/>
          <w:sz w:val="28"/>
          <w:szCs w:val="28"/>
        </w:rPr>
        <w:t>в некоторые законы Удмуртской Республики</w:t>
      </w:r>
      <w:r w:rsidR="007A23B2" w:rsidRPr="000231E2">
        <w:rPr>
          <w:b/>
          <w:sz w:val="28"/>
          <w:szCs w:val="28"/>
        </w:rPr>
        <w:t>»</w:t>
      </w:r>
    </w:p>
    <w:p w:rsidR="00976634" w:rsidRPr="001C5734" w:rsidRDefault="00976634" w:rsidP="005B1F47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022DC5" w:rsidRDefault="00022DC5" w:rsidP="00022DC5">
      <w:pPr>
        <w:ind w:firstLine="709"/>
        <w:jc w:val="both"/>
        <w:rPr>
          <w:sz w:val="28"/>
          <w:szCs w:val="28"/>
        </w:rPr>
      </w:pPr>
      <w:r w:rsidRPr="00336451">
        <w:rPr>
          <w:sz w:val="28"/>
          <w:szCs w:val="28"/>
        </w:rPr>
        <w:t>Проектом закона Удмуртской Республики</w:t>
      </w:r>
      <w:r w:rsidRPr="00336451">
        <w:rPr>
          <w:rStyle w:val="FontStyle11"/>
          <w:sz w:val="28"/>
          <w:szCs w:val="28"/>
        </w:rPr>
        <w:t xml:space="preserve"> </w:t>
      </w:r>
      <w:r w:rsidRPr="00336451">
        <w:rPr>
          <w:sz w:val="28"/>
          <w:szCs w:val="28"/>
        </w:rPr>
        <w:t xml:space="preserve">«О внесении изменений в некоторые законы Удмуртской Республики» предлагается </w:t>
      </w:r>
      <w:r w:rsidRPr="00D2686C">
        <w:rPr>
          <w:sz w:val="28"/>
          <w:szCs w:val="28"/>
        </w:rPr>
        <w:t>внес</w:t>
      </w:r>
      <w:r>
        <w:rPr>
          <w:sz w:val="28"/>
          <w:szCs w:val="28"/>
        </w:rPr>
        <w:t>ти</w:t>
      </w:r>
      <w:r w:rsidRPr="00D2686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D2686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следующие </w:t>
      </w:r>
      <w:r w:rsidRPr="00D2686C">
        <w:rPr>
          <w:sz w:val="28"/>
          <w:szCs w:val="28"/>
        </w:rPr>
        <w:t>законы</w:t>
      </w:r>
      <w:r>
        <w:rPr>
          <w:sz w:val="28"/>
          <w:szCs w:val="28"/>
        </w:rPr>
        <w:t>:</w:t>
      </w:r>
    </w:p>
    <w:p w:rsidR="00022DC5" w:rsidRPr="00006138" w:rsidRDefault="00022DC5" w:rsidP="00022DC5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/>
          <w:color w:val="auto"/>
        </w:rPr>
      </w:pPr>
      <w:r w:rsidRPr="00006138">
        <w:rPr>
          <w:rFonts w:ascii="Times New Roman" w:hAnsi="Times New Roman"/>
          <w:b w:val="0"/>
          <w:color w:val="auto"/>
        </w:rPr>
        <w:t>- Закон Удмуртской Республики от 28 ноября 2012 года № 63-РЗ «О патентной системе налогообложения в Удмуртской Республике»</w:t>
      </w:r>
      <w:r>
        <w:rPr>
          <w:rFonts w:ascii="Times New Roman" w:hAnsi="Times New Roman"/>
          <w:b w:val="0"/>
          <w:color w:val="auto"/>
        </w:rPr>
        <w:t xml:space="preserve"> (далее – Закон УР № 63-РЗ);</w:t>
      </w:r>
    </w:p>
    <w:p w:rsidR="00022DC5" w:rsidRPr="0079150A" w:rsidRDefault="00022DC5" w:rsidP="0002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7F6C">
        <w:rPr>
          <w:sz w:val="28"/>
          <w:szCs w:val="28"/>
        </w:rPr>
        <w:t xml:space="preserve"> Закон Удмуртской Республики от 14 мая 2015 года № 32-РЗ «Об установлении налоговой ставки 0 процентов для налогоплательщиков -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</w:t>
      </w:r>
      <w:r w:rsidRPr="0079150A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–</w:t>
      </w:r>
      <w:r w:rsidRPr="0079150A">
        <w:rPr>
          <w:sz w:val="28"/>
          <w:szCs w:val="28"/>
        </w:rPr>
        <w:t xml:space="preserve"> Закон УР № </w:t>
      </w:r>
      <w:r>
        <w:rPr>
          <w:sz w:val="28"/>
          <w:szCs w:val="28"/>
        </w:rPr>
        <w:t>32</w:t>
      </w:r>
      <w:r w:rsidRPr="0079150A">
        <w:rPr>
          <w:sz w:val="28"/>
          <w:szCs w:val="28"/>
        </w:rPr>
        <w:t>-РЗ).</w:t>
      </w:r>
    </w:p>
    <w:p w:rsidR="00022DC5" w:rsidRDefault="00022DC5" w:rsidP="00022DC5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Изменения в </w:t>
      </w:r>
      <w:r w:rsidRPr="006D23C1">
        <w:rPr>
          <w:sz w:val="28"/>
          <w:szCs w:val="28"/>
        </w:rPr>
        <w:t>Закон УР № 63-РЗ</w:t>
      </w:r>
      <w:r w:rsidRPr="005A6247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ы</w:t>
      </w:r>
      <w:r w:rsidRPr="005A6247">
        <w:rPr>
          <w:sz w:val="28"/>
          <w:szCs w:val="28"/>
        </w:rPr>
        <w:t xml:space="preserve"> в </w:t>
      </w:r>
      <w:r>
        <w:rPr>
          <w:sz w:val="28"/>
        </w:rPr>
        <w:t>соответствии с Планом мероприятий по росту доходов бюджета, оптимизации расходов бюджета и сокращению государственного долга в целях оздоровления государственных финансов</w:t>
      </w:r>
      <w:r w:rsidRPr="000657FD">
        <w:rPr>
          <w:sz w:val="28"/>
        </w:rPr>
        <w:t xml:space="preserve"> Удмуртской Республик</w:t>
      </w:r>
      <w:r>
        <w:rPr>
          <w:sz w:val="28"/>
        </w:rPr>
        <w:t>и на период до 2020 года, утвержденным распоряжением  Главы  Удмуртской  Республики  от 20 сентября 2016 года № 396-РГ.</w:t>
      </w:r>
    </w:p>
    <w:p w:rsidR="00022DC5" w:rsidRDefault="00022DC5" w:rsidP="00022DC5">
      <w:pPr>
        <w:ind w:firstLine="709"/>
        <w:jc w:val="both"/>
        <w:rPr>
          <w:sz w:val="28"/>
          <w:szCs w:val="28"/>
        </w:rPr>
      </w:pPr>
      <w:proofErr w:type="gramStart"/>
      <w:r w:rsidRPr="00F95442">
        <w:rPr>
          <w:sz w:val="28"/>
          <w:szCs w:val="28"/>
        </w:rPr>
        <w:t xml:space="preserve">Суммарный план увеличения налоговых поступлений по </w:t>
      </w:r>
      <w:r w:rsidRPr="0049179A">
        <w:rPr>
          <w:sz w:val="28"/>
          <w:szCs w:val="28"/>
        </w:rPr>
        <w:t xml:space="preserve">патентной системе налогообложения </w:t>
      </w:r>
      <w:r w:rsidRPr="00F95442">
        <w:rPr>
          <w:sz w:val="28"/>
          <w:szCs w:val="28"/>
        </w:rPr>
        <w:t>в соответствии с пунктами 1.7 и 1.8 Плана мероприятий по росту доходов бюджета, оптимизации расходов бюджета и сокращению государственного долга в целях оздоровления государственных финансов Удмуртской Республики на период до 2020 года составляет 42</w:t>
      </w:r>
      <w:r>
        <w:rPr>
          <w:sz w:val="28"/>
          <w:szCs w:val="28"/>
        </w:rPr>
        <w:t> </w:t>
      </w:r>
      <w:r w:rsidRPr="00F95442">
        <w:rPr>
          <w:sz w:val="28"/>
          <w:szCs w:val="28"/>
        </w:rPr>
        <w:t>619</w:t>
      </w:r>
      <w:r>
        <w:rPr>
          <w:sz w:val="28"/>
          <w:szCs w:val="28"/>
        </w:rPr>
        <w:t>,00</w:t>
      </w:r>
      <w:r w:rsidRPr="00F95442">
        <w:rPr>
          <w:sz w:val="28"/>
          <w:szCs w:val="28"/>
        </w:rPr>
        <w:t xml:space="preserve"> тыс. рублей относительно поступлений за 2016 год. </w:t>
      </w:r>
      <w:proofErr w:type="gramEnd"/>
    </w:p>
    <w:p w:rsidR="00022DC5" w:rsidRDefault="00022DC5" w:rsidP="00022DC5">
      <w:pPr>
        <w:jc w:val="center"/>
      </w:pPr>
    </w:p>
    <w:p w:rsidR="00022DC5" w:rsidRDefault="00022DC5" w:rsidP="00022DC5">
      <w:pPr>
        <w:jc w:val="center"/>
        <w:rPr>
          <w:b/>
          <w:sz w:val="28"/>
          <w:szCs w:val="28"/>
        </w:rPr>
      </w:pPr>
      <w:r w:rsidRPr="00404533">
        <w:rPr>
          <w:b/>
          <w:sz w:val="28"/>
          <w:szCs w:val="28"/>
        </w:rPr>
        <w:t xml:space="preserve">Налоговые поступления по патентной системе налогообложения, </w:t>
      </w:r>
    </w:p>
    <w:p w:rsidR="00022DC5" w:rsidRPr="00404533" w:rsidRDefault="00022DC5" w:rsidP="00022DC5">
      <w:pPr>
        <w:jc w:val="center"/>
        <w:rPr>
          <w:b/>
          <w:sz w:val="28"/>
          <w:szCs w:val="28"/>
        </w:rPr>
      </w:pPr>
      <w:r w:rsidRPr="00404533">
        <w:rPr>
          <w:b/>
          <w:sz w:val="28"/>
          <w:szCs w:val="28"/>
        </w:rPr>
        <w:t>тыс. руб.</w:t>
      </w:r>
    </w:p>
    <w:p w:rsidR="00022DC5" w:rsidRDefault="00022DC5" w:rsidP="00022DC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455"/>
        <w:gridCol w:w="2126"/>
        <w:gridCol w:w="1984"/>
        <w:gridCol w:w="1985"/>
      </w:tblGrid>
      <w:tr w:rsidR="00022DC5" w:rsidTr="00573964">
        <w:tc>
          <w:tcPr>
            <w:tcW w:w="1914" w:type="dxa"/>
            <w:shd w:val="clear" w:color="auto" w:fill="auto"/>
          </w:tcPr>
          <w:p w:rsidR="00022DC5" w:rsidRDefault="00022DC5" w:rsidP="00573964">
            <w:pPr>
              <w:jc w:val="center"/>
            </w:pPr>
            <w:r>
              <w:t>2016 год (базовый при расчете планового увеличения поступлений по 396-РГ)</w:t>
            </w:r>
          </w:p>
        </w:tc>
        <w:tc>
          <w:tcPr>
            <w:tcW w:w="1455" w:type="dxa"/>
            <w:shd w:val="clear" w:color="auto" w:fill="auto"/>
          </w:tcPr>
          <w:p w:rsidR="00022DC5" w:rsidRDefault="00022DC5" w:rsidP="00573964">
            <w:pPr>
              <w:jc w:val="center"/>
            </w:pPr>
            <w:r>
              <w:t xml:space="preserve">2017 год </w:t>
            </w:r>
          </w:p>
          <w:p w:rsidR="00022DC5" w:rsidRDefault="00022DC5" w:rsidP="00573964">
            <w:pPr>
              <w:jc w:val="center"/>
            </w:pPr>
            <w:r>
              <w:t>(факт)</w:t>
            </w:r>
          </w:p>
        </w:tc>
        <w:tc>
          <w:tcPr>
            <w:tcW w:w="2126" w:type="dxa"/>
            <w:shd w:val="clear" w:color="auto" w:fill="auto"/>
          </w:tcPr>
          <w:p w:rsidR="00022DC5" w:rsidRDefault="00022DC5" w:rsidP="00573964">
            <w:pPr>
              <w:jc w:val="center"/>
            </w:pPr>
            <w:r>
              <w:t>2018 год (прогноз в соответствии с динамикой 07.2018  к 07.2017)</w:t>
            </w:r>
          </w:p>
        </w:tc>
        <w:tc>
          <w:tcPr>
            <w:tcW w:w="1984" w:type="dxa"/>
            <w:shd w:val="clear" w:color="auto" w:fill="auto"/>
          </w:tcPr>
          <w:p w:rsidR="00022DC5" w:rsidRDefault="00022DC5" w:rsidP="00573964">
            <w:pPr>
              <w:jc w:val="center"/>
            </w:pPr>
            <w:r>
              <w:t xml:space="preserve">2019 год </w:t>
            </w:r>
          </w:p>
          <w:p w:rsidR="00022DC5" w:rsidRDefault="00022DC5" w:rsidP="00573964">
            <w:pPr>
              <w:jc w:val="center"/>
            </w:pPr>
            <w:r>
              <w:t>(с учетом индексации на коэффициент дефлятор 1,5)</w:t>
            </w:r>
          </w:p>
        </w:tc>
        <w:tc>
          <w:tcPr>
            <w:tcW w:w="1985" w:type="dxa"/>
            <w:shd w:val="clear" w:color="auto" w:fill="auto"/>
          </w:tcPr>
          <w:p w:rsidR="00022DC5" w:rsidRDefault="00022DC5" w:rsidP="00573964">
            <w:pPr>
              <w:jc w:val="center"/>
            </w:pPr>
            <w:r>
              <w:t>Прирост 2019 года к 2016 году</w:t>
            </w:r>
          </w:p>
        </w:tc>
      </w:tr>
      <w:tr w:rsidR="00022DC5" w:rsidTr="00573964">
        <w:tc>
          <w:tcPr>
            <w:tcW w:w="1914" w:type="dxa"/>
            <w:shd w:val="clear" w:color="auto" w:fill="auto"/>
          </w:tcPr>
          <w:p w:rsidR="00022DC5" w:rsidRDefault="00022DC5" w:rsidP="00573964">
            <w:pPr>
              <w:jc w:val="center"/>
            </w:pPr>
            <w:r w:rsidRPr="00B228EC">
              <w:t>43</w:t>
            </w:r>
            <w:r>
              <w:t> </w:t>
            </w:r>
            <w:r w:rsidRPr="00B228EC">
              <w:t>268</w:t>
            </w:r>
            <w:r>
              <w:t>,00</w:t>
            </w:r>
          </w:p>
        </w:tc>
        <w:tc>
          <w:tcPr>
            <w:tcW w:w="1455" w:type="dxa"/>
            <w:shd w:val="clear" w:color="auto" w:fill="auto"/>
          </w:tcPr>
          <w:p w:rsidR="00022DC5" w:rsidRDefault="00022DC5" w:rsidP="00573964">
            <w:pPr>
              <w:jc w:val="center"/>
            </w:pPr>
            <w:r w:rsidRPr="00B228EC">
              <w:t>56</w:t>
            </w:r>
            <w:r>
              <w:t> </w:t>
            </w:r>
            <w:r w:rsidRPr="00B228EC">
              <w:t>811</w:t>
            </w:r>
            <w:r>
              <w:t>,00</w:t>
            </w:r>
          </w:p>
        </w:tc>
        <w:tc>
          <w:tcPr>
            <w:tcW w:w="2126" w:type="dxa"/>
            <w:shd w:val="clear" w:color="auto" w:fill="auto"/>
          </w:tcPr>
          <w:p w:rsidR="00022DC5" w:rsidRDefault="00022DC5" w:rsidP="00573964">
            <w:pPr>
              <w:jc w:val="center"/>
            </w:pPr>
            <w:r w:rsidRPr="00D35903">
              <w:t>69</w:t>
            </w:r>
            <w:r>
              <w:t> </w:t>
            </w:r>
            <w:r w:rsidRPr="00D35903">
              <w:t>760</w:t>
            </w:r>
            <w:r>
              <w:t>,00</w:t>
            </w:r>
          </w:p>
        </w:tc>
        <w:tc>
          <w:tcPr>
            <w:tcW w:w="1984" w:type="dxa"/>
            <w:shd w:val="clear" w:color="auto" w:fill="auto"/>
          </w:tcPr>
          <w:p w:rsidR="00022DC5" w:rsidRDefault="00022DC5" w:rsidP="00573964">
            <w:pPr>
              <w:jc w:val="center"/>
            </w:pPr>
            <w:r w:rsidRPr="00D35903">
              <w:t>104</w:t>
            </w:r>
            <w:r>
              <w:t> </w:t>
            </w:r>
            <w:r w:rsidRPr="00D35903">
              <w:t>640</w:t>
            </w:r>
            <w:r>
              <w:t>,00</w:t>
            </w:r>
          </w:p>
        </w:tc>
        <w:tc>
          <w:tcPr>
            <w:tcW w:w="1985" w:type="dxa"/>
            <w:shd w:val="clear" w:color="auto" w:fill="auto"/>
          </w:tcPr>
          <w:p w:rsidR="00022DC5" w:rsidRDefault="00022DC5" w:rsidP="00573964">
            <w:pPr>
              <w:jc w:val="center"/>
            </w:pPr>
            <w:r w:rsidRPr="00FB7AC9">
              <w:t>61</w:t>
            </w:r>
            <w:r>
              <w:t> </w:t>
            </w:r>
            <w:r w:rsidRPr="00FB7AC9">
              <w:t>372</w:t>
            </w:r>
            <w:r>
              <w:t>,00</w:t>
            </w:r>
          </w:p>
        </w:tc>
      </w:tr>
    </w:tbl>
    <w:p w:rsidR="00022DC5" w:rsidRDefault="00022DC5" w:rsidP="00022DC5"/>
    <w:p w:rsidR="00022DC5" w:rsidRDefault="00022DC5" w:rsidP="00022DC5">
      <w:pPr>
        <w:ind w:firstLine="709"/>
        <w:jc w:val="both"/>
        <w:rPr>
          <w:sz w:val="28"/>
          <w:szCs w:val="28"/>
        </w:rPr>
      </w:pPr>
      <w:r w:rsidRPr="00F95442">
        <w:rPr>
          <w:sz w:val="28"/>
          <w:szCs w:val="28"/>
        </w:rPr>
        <w:t>В результате действия в Удмуртской Республике привлекательных для предпринимателей условий применения патентной системы налогообложения по итогам 2018 года прогнозируется прирост поступлений относительно 2016 года на уровне 26</w:t>
      </w:r>
      <w:r>
        <w:rPr>
          <w:sz w:val="28"/>
          <w:szCs w:val="28"/>
        </w:rPr>
        <w:t> </w:t>
      </w:r>
      <w:r w:rsidRPr="00F95442">
        <w:rPr>
          <w:sz w:val="28"/>
          <w:szCs w:val="28"/>
        </w:rPr>
        <w:t>492</w:t>
      </w:r>
      <w:r>
        <w:rPr>
          <w:sz w:val="28"/>
          <w:szCs w:val="28"/>
        </w:rPr>
        <w:t>,00</w:t>
      </w:r>
      <w:r w:rsidRPr="00F95442">
        <w:rPr>
          <w:sz w:val="28"/>
          <w:szCs w:val="28"/>
        </w:rPr>
        <w:t xml:space="preserve"> тыс. рублей, сама сумма поступлений составит 69</w:t>
      </w:r>
      <w:r>
        <w:rPr>
          <w:sz w:val="28"/>
          <w:szCs w:val="28"/>
        </w:rPr>
        <w:t> </w:t>
      </w:r>
      <w:r w:rsidRPr="00F95442">
        <w:rPr>
          <w:sz w:val="28"/>
          <w:szCs w:val="28"/>
        </w:rPr>
        <w:t>760</w:t>
      </w:r>
      <w:r>
        <w:rPr>
          <w:sz w:val="28"/>
          <w:szCs w:val="28"/>
        </w:rPr>
        <w:t>,00</w:t>
      </w:r>
      <w:r w:rsidRPr="00F95442">
        <w:rPr>
          <w:sz w:val="28"/>
          <w:szCs w:val="28"/>
        </w:rPr>
        <w:t xml:space="preserve"> тыс. рублей.</w:t>
      </w:r>
    </w:p>
    <w:p w:rsidR="00022DC5" w:rsidRDefault="00022DC5" w:rsidP="00022DC5">
      <w:pPr>
        <w:ind w:firstLine="709"/>
        <w:jc w:val="both"/>
        <w:rPr>
          <w:sz w:val="28"/>
          <w:szCs w:val="28"/>
        </w:rPr>
      </w:pPr>
      <w:proofErr w:type="gramStart"/>
      <w:r w:rsidRPr="00F95442">
        <w:rPr>
          <w:sz w:val="28"/>
          <w:szCs w:val="28"/>
        </w:rPr>
        <w:t xml:space="preserve">В 2019 году, за счет введения в Закон УР № 63-РЗ положения об индексации максимального размера потенциально возможного к получению индивидуальным предпринимателем годового дохода на коэффициент-дефлятор, </w:t>
      </w:r>
      <w:r w:rsidRPr="00F95442">
        <w:rPr>
          <w:sz w:val="28"/>
          <w:szCs w:val="28"/>
        </w:rPr>
        <w:lastRenderedPageBreak/>
        <w:t>установленный на соответствующий календарный год, сумма налоговых поступлений по патентной систем</w:t>
      </w:r>
      <w:r>
        <w:rPr>
          <w:sz w:val="28"/>
          <w:szCs w:val="28"/>
        </w:rPr>
        <w:t>е</w:t>
      </w:r>
      <w:r w:rsidRPr="00F95442">
        <w:rPr>
          <w:sz w:val="28"/>
          <w:szCs w:val="28"/>
        </w:rPr>
        <w:t xml:space="preserve"> налогообложения может вырасти до 104</w:t>
      </w:r>
      <w:r>
        <w:rPr>
          <w:sz w:val="28"/>
          <w:szCs w:val="28"/>
        </w:rPr>
        <w:t> </w:t>
      </w:r>
      <w:r w:rsidRPr="00F95442">
        <w:rPr>
          <w:sz w:val="28"/>
          <w:szCs w:val="28"/>
        </w:rPr>
        <w:t>640</w:t>
      </w:r>
      <w:r>
        <w:rPr>
          <w:sz w:val="28"/>
          <w:szCs w:val="28"/>
        </w:rPr>
        <w:t>,00</w:t>
      </w:r>
      <w:r w:rsidRPr="00F95442">
        <w:rPr>
          <w:sz w:val="28"/>
          <w:szCs w:val="28"/>
        </w:rPr>
        <w:t xml:space="preserve"> тыс. рублей, что превы</w:t>
      </w:r>
      <w:r>
        <w:rPr>
          <w:sz w:val="28"/>
          <w:szCs w:val="28"/>
        </w:rPr>
        <w:t>сит</w:t>
      </w:r>
      <w:r w:rsidRPr="00F95442">
        <w:rPr>
          <w:sz w:val="28"/>
          <w:szCs w:val="28"/>
        </w:rPr>
        <w:t xml:space="preserve"> базовое значение 2016 года на 61</w:t>
      </w:r>
      <w:r>
        <w:rPr>
          <w:sz w:val="28"/>
          <w:szCs w:val="28"/>
        </w:rPr>
        <w:t> </w:t>
      </w:r>
      <w:r w:rsidRPr="00F95442">
        <w:rPr>
          <w:sz w:val="28"/>
          <w:szCs w:val="28"/>
        </w:rPr>
        <w:t>372</w:t>
      </w:r>
      <w:r>
        <w:rPr>
          <w:sz w:val="28"/>
          <w:szCs w:val="28"/>
        </w:rPr>
        <w:t>,00</w:t>
      </w:r>
      <w:r w:rsidRPr="00F95442">
        <w:rPr>
          <w:sz w:val="28"/>
          <w:szCs w:val="28"/>
        </w:rPr>
        <w:t xml:space="preserve"> тыс. рублей, при этом общее количество предпринимателей</w:t>
      </w:r>
      <w:proofErr w:type="gramEnd"/>
      <w:r w:rsidRPr="00F95442">
        <w:rPr>
          <w:sz w:val="28"/>
          <w:szCs w:val="28"/>
        </w:rPr>
        <w:t xml:space="preserve">, </w:t>
      </w:r>
      <w:r w:rsidRPr="00B154B1">
        <w:rPr>
          <w:sz w:val="28"/>
          <w:szCs w:val="28"/>
        </w:rPr>
        <w:t>применяющих патентную систему налогообложения, сократится в связи со снижением привлекательности данной системы налогообложения и их переходом на иные системы налогообложения.</w:t>
      </w:r>
    </w:p>
    <w:p w:rsidR="00022DC5" w:rsidRPr="00BF3387" w:rsidRDefault="00022DC5" w:rsidP="00022DC5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66CD1">
        <w:rPr>
          <w:rFonts w:eastAsia="Calibri"/>
          <w:sz w:val="28"/>
          <w:szCs w:val="28"/>
        </w:rPr>
        <w:t xml:space="preserve">Также проектом закона предлагается </w:t>
      </w:r>
      <w:r w:rsidRPr="00266CD1">
        <w:rPr>
          <w:sz w:val="28"/>
          <w:szCs w:val="28"/>
        </w:rPr>
        <w:t>по виду предпринимательской деятельности «Оказание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модификации» (пункт 62 приложения к Закону УР № 63-РЗ) увеличить размер потенциально возможного к получению индивидуальными предпринимателями годового дохода до 1 млн. рублей без дифференциации по территориям действия патентов и средней</w:t>
      </w:r>
      <w:proofErr w:type="gramEnd"/>
      <w:r w:rsidRPr="00266CD1">
        <w:rPr>
          <w:sz w:val="28"/>
          <w:szCs w:val="28"/>
        </w:rPr>
        <w:t xml:space="preserve"> численности наемных работников</w:t>
      </w:r>
      <w:r w:rsidRPr="00266CD1">
        <w:rPr>
          <w:rFonts w:eastAsia="Calibri"/>
          <w:sz w:val="28"/>
          <w:szCs w:val="28"/>
        </w:rPr>
        <w:t>.</w:t>
      </w:r>
    </w:p>
    <w:p w:rsidR="00022DC5" w:rsidRPr="004B2C22" w:rsidRDefault="00022DC5" w:rsidP="0002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проектом закона </w:t>
      </w:r>
      <w:r w:rsidRPr="006375BA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 xml:space="preserve">также внести изменения в </w:t>
      </w:r>
      <w:r w:rsidRPr="006D23C1">
        <w:rPr>
          <w:sz w:val="28"/>
          <w:szCs w:val="28"/>
        </w:rPr>
        <w:t xml:space="preserve">Закон УР № </w:t>
      </w:r>
      <w:r>
        <w:rPr>
          <w:sz w:val="28"/>
          <w:szCs w:val="28"/>
        </w:rPr>
        <w:t>32</w:t>
      </w:r>
      <w:r w:rsidRPr="006D23C1">
        <w:rPr>
          <w:sz w:val="28"/>
          <w:szCs w:val="28"/>
        </w:rPr>
        <w:t>-РЗ</w:t>
      </w:r>
      <w:r>
        <w:rPr>
          <w:sz w:val="28"/>
          <w:szCs w:val="28"/>
        </w:rPr>
        <w:t xml:space="preserve">, а именно исключить </w:t>
      </w:r>
      <w:r w:rsidRPr="004B2C22">
        <w:rPr>
          <w:sz w:val="28"/>
          <w:szCs w:val="28"/>
        </w:rPr>
        <w:t>с 1 января  201</w:t>
      </w:r>
      <w:r>
        <w:rPr>
          <w:sz w:val="28"/>
          <w:szCs w:val="28"/>
        </w:rPr>
        <w:t>9</w:t>
      </w:r>
      <w:r w:rsidRPr="004B2C22">
        <w:rPr>
          <w:sz w:val="28"/>
          <w:szCs w:val="28"/>
        </w:rPr>
        <w:t xml:space="preserve"> года </w:t>
      </w:r>
      <w:r>
        <w:rPr>
          <w:sz w:val="28"/>
          <w:szCs w:val="28"/>
        </w:rPr>
        <w:t>из перечня видов предпринимательской деятельности</w:t>
      </w:r>
      <w:r w:rsidRPr="005A6247">
        <w:rPr>
          <w:sz w:val="28"/>
          <w:szCs w:val="28"/>
        </w:rPr>
        <w:t xml:space="preserve"> </w:t>
      </w:r>
      <w:r w:rsidRPr="004B2C22">
        <w:rPr>
          <w:sz w:val="28"/>
          <w:szCs w:val="28"/>
        </w:rPr>
        <w:t>следующие виды предпринимательской деятельности,</w:t>
      </w:r>
      <w:r w:rsidRPr="004B2C22">
        <w:t xml:space="preserve"> </w:t>
      </w:r>
      <w:r w:rsidRPr="004B2C22">
        <w:rPr>
          <w:sz w:val="28"/>
          <w:szCs w:val="28"/>
        </w:rPr>
        <w:t>по которым устан</w:t>
      </w:r>
      <w:r>
        <w:rPr>
          <w:sz w:val="28"/>
          <w:szCs w:val="28"/>
        </w:rPr>
        <w:t>овлена</w:t>
      </w:r>
      <w:r w:rsidRPr="004B2C22">
        <w:rPr>
          <w:sz w:val="28"/>
          <w:szCs w:val="28"/>
        </w:rPr>
        <w:t xml:space="preserve"> ставка в размере 0 процентов при применении </w:t>
      </w:r>
      <w:r>
        <w:rPr>
          <w:sz w:val="28"/>
          <w:szCs w:val="28"/>
        </w:rPr>
        <w:t xml:space="preserve">патентной </w:t>
      </w:r>
      <w:r w:rsidRPr="004B2C22">
        <w:rPr>
          <w:sz w:val="28"/>
          <w:szCs w:val="28"/>
        </w:rPr>
        <w:t>системы налогообложения:</w:t>
      </w:r>
    </w:p>
    <w:p w:rsidR="00022DC5" w:rsidRPr="00856734" w:rsidRDefault="00022DC5" w:rsidP="00022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734">
        <w:rPr>
          <w:rFonts w:ascii="Times New Roman" w:hAnsi="Times New Roman" w:cs="Times New Roman"/>
          <w:sz w:val="28"/>
          <w:szCs w:val="28"/>
        </w:rPr>
        <w:t>ремонт жилья и других построек;</w:t>
      </w:r>
    </w:p>
    <w:p w:rsidR="00022DC5" w:rsidRDefault="00022DC5" w:rsidP="00022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734">
        <w:rPr>
          <w:rFonts w:ascii="Times New Roman" w:hAnsi="Times New Roman" w:cs="Times New Roman"/>
          <w:sz w:val="28"/>
          <w:szCs w:val="28"/>
        </w:rPr>
        <w:t>услуги по производству монтажных, электромонтажных, санитарно-технических и сварочных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DC5" w:rsidRPr="00997F09" w:rsidRDefault="00022DC5" w:rsidP="00022DC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данным </w:t>
      </w:r>
      <w:r w:rsidRPr="005E6F2A">
        <w:rPr>
          <w:color w:val="000000"/>
          <w:sz w:val="28"/>
          <w:szCs w:val="28"/>
          <w:shd w:val="clear" w:color="auto" w:fill="FFFFFF"/>
        </w:rPr>
        <w:t>Управления Федеральной налоговой службы по Удмуртской Республике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количество патентов, выданных в </w:t>
      </w:r>
      <w:r w:rsidRPr="005E6F2A">
        <w:rPr>
          <w:color w:val="000000"/>
          <w:sz w:val="28"/>
          <w:szCs w:val="28"/>
          <w:shd w:val="clear" w:color="auto" w:fill="FFFFFF"/>
        </w:rPr>
        <w:t>Удмуртской Республике</w:t>
      </w:r>
      <w:r w:rsidRPr="00EA067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за 2017 год по указанным видам </w:t>
      </w:r>
      <w:r w:rsidRPr="004B2C22">
        <w:rPr>
          <w:sz w:val="28"/>
          <w:szCs w:val="28"/>
        </w:rPr>
        <w:t>предпринимательской 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с применением </w:t>
      </w:r>
      <w:r w:rsidRPr="00997F09">
        <w:rPr>
          <w:sz w:val="28"/>
          <w:szCs w:val="28"/>
          <w:shd w:val="clear" w:color="auto" w:fill="FFFFFF"/>
        </w:rPr>
        <w:t>налоговой ставки в размере 0 процентов</w:t>
      </w:r>
      <w:r>
        <w:rPr>
          <w:sz w:val="28"/>
          <w:szCs w:val="28"/>
          <w:shd w:val="clear" w:color="auto" w:fill="FFFFFF"/>
        </w:rPr>
        <w:t>,</w:t>
      </w:r>
      <w:r w:rsidRPr="00997F09">
        <w:rPr>
          <w:sz w:val="28"/>
          <w:szCs w:val="28"/>
          <w:shd w:val="clear" w:color="auto" w:fill="FFFFFF"/>
        </w:rPr>
        <w:t xml:space="preserve"> многократно превышает аналогичное значение по другим регионам Приволжского федерального округа</w:t>
      </w:r>
      <w:r>
        <w:rPr>
          <w:sz w:val="28"/>
          <w:szCs w:val="28"/>
          <w:shd w:val="clear" w:color="auto" w:fill="FFFFFF"/>
        </w:rPr>
        <w:t xml:space="preserve"> (далее – ПФО)</w:t>
      </w:r>
      <w:r w:rsidRPr="00997F09">
        <w:rPr>
          <w:sz w:val="28"/>
          <w:szCs w:val="28"/>
        </w:rPr>
        <w:t>.</w:t>
      </w:r>
    </w:p>
    <w:p w:rsidR="00022DC5" w:rsidRDefault="00022DC5" w:rsidP="0002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31 декабря 2017 года по этим видам </w:t>
      </w:r>
      <w:r w:rsidRPr="004B2C22">
        <w:rPr>
          <w:sz w:val="28"/>
          <w:szCs w:val="28"/>
        </w:rPr>
        <w:t>предпринимательской</w:t>
      </w:r>
      <w:r>
        <w:rPr>
          <w:sz w:val="28"/>
          <w:szCs w:val="28"/>
        </w:rPr>
        <w:t xml:space="preserve"> деятельности выдано</w:t>
      </w:r>
      <w:r w:rsidRPr="00B417CB">
        <w:rPr>
          <w:sz w:val="28"/>
          <w:szCs w:val="28"/>
        </w:rPr>
        <w:t xml:space="preserve"> </w:t>
      </w:r>
      <w:r>
        <w:rPr>
          <w:sz w:val="28"/>
          <w:szCs w:val="28"/>
        </w:rPr>
        <w:t>патентов:</w:t>
      </w:r>
    </w:p>
    <w:p w:rsidR="00022DC5" w:rsidRPr="006F302E" w:rsidRDefault="00022DC5" w:rsidP="00022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3A">
        <w:rPr>
          <w:rFonts w:ascii="Times New Roman" w:hAnsi="Times New Roman" w:cs="Times New Roman"/>
          <w:sz w:val="28"/>
          <w:szCs w:val="28"/>
        </w:rPr>
        <w:t>- по виду деятельности «ремонт жилья и других пос</w:t>
      </w:r>
      <w:r w:rsidRPr="00856734">
        <w:rPr>
          <w:rFonts w:ascii="Times New Roman" w:hAnsi="Times New Roman" w:cs="Times New Roman"/>
          <w:sz w:val="28"/>
          <w:szCs w:val="28"/>
        </w:rPr>
        <w:t>троек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A00C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0C3A"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02E">
        <w:rPr>
          <w:rFonts w:ascii="Times New Roman" w:hAnsi="Times New Roman" w:cs="Times New Roman"/>
          <w:sz w:val="28"/>
          <w:szCs w:val="28"/>
        </w:rPr>
        <w:t xml:space="preserve">патента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302E">
        <w:rPr>
          <w:rFonts w:ascii="Times New Roman" w:hAnsi="Times New Roman" w:cs="Times New Roman"/>
          <w:sz w:val="28"/>
          <w:szCs w:val="28"/>
        </w:rPr>
        <w:t xml:space="preserve"> целом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F302E">
        <w:rPr>
          <w:rFonts w:ascii="Times New Roman" w:hAnsi="Times New Roman" w:cs="Times New Roman"/>
          <w:sz w:val="28"/>
          <w:szCs w:val="28"/>
        </w:rPr>
        <w:t xml:space="preserve"> ПФО</w:t>
      </w:r>
      <w:r>
        <w:rPr>
          <w:rFonts w:ascii="Times New Roman" w:hAnsi="Times New Roman" w:cs="Times New Roman"/>
          <w:sz w:val="28"/>
          <w:szCs w:val="28"/>
        </w:rPr>
        <w:t xml:space="preserve">, из </w:t>
      </w:r>
      <w:r w:rsidRPr="006F302E"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302E">
        <w:rPr>
          <w:rFonts w:ascii="Times New Roman" w:hAnsi="Times New Roman" w:cs="Times New Roman"/>
          <w:sz w:val="28"/>
          <w:szCs w:val="28"/>
        </w:rPr>
        <w:t xml:space="preserve"> </w:t>
      </w:r>
      <w:r w:rsidRPr="006F3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Удмуртской Республике –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F3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патентов</w:t>
      </w:r>
      <w:r w:rsidRPr="006F3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с </w:t>
      </w:r>
      <w:r w:rsidRPr="006F302E">
        <w:rPr>
          <w:rFonts w:ascii="Times New Roman" w:hAnsi="Times New Roman" w:cs="Times New Roman"/>
          <w:sz w:val="28"/>
          <w:szCs w:val="28"/>
        </w:rPr>
        <w:t xml:space="preserve"> нулевой ставкой в ПФО выдано 1 679 патентов, 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302E">
        <w:rPr>
          <w:rFonts w:ascii="Times New Roman" w:hAnsi="Times New Roman" w:cs="Times New Roman"/>
          <w:sz w:val="28"/>
          <w:szCs w:val="28"/>
        </w:rPr>
        <w:t xml:space="preserve"> Удмуртии – 1 568 патентов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C5" w:rsidRPr="00D925FB" w:rsidRDefault="00022DC5" w:rsidP="00022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0C3A">
        <w:rPr>
          <w:rFonts w:ascii="Times New Roman" w:hAnsi="Times New Roman" w:cs="Times New Roman"/>
          <w:sz w:val="28"/>
          <w:szCs w:val="28"/>
        </w:rPr>
        <w:t xml:space="preserve">по виду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6734">
        <w:rPr>
          <w:rFonts w:ascii="Times New Roman" w:hAnsi="Times New Roman" w:cs="Times New Roman"/>
          <w:sz w:val="28"/>
          <w:szCs w:val="28"/>
        </w:rPr>
        <w:t>услуги по производству монтажных, электромонтажных, санитарно-технических и сварочных работ</w:t>
      </w:r>
      <w:r>
        <w:rPr>
          <w:rFonts w:ascii="Times New Roman" w:hAnsi="Times New Roman" w:cs="Times New Roman"/>
          <w:sz w:val="28"/>
          <w:szCs w:val="28"/>
        </w:rPr>
        <w:t>» - 4 808 патентов выдано в</w:t>
      </w:r>
      <w:r w:rsidRPr="006F302E">
        <w:rPr>
          <w:rFonts w:ascii="Times New Roman" w:hAnsi="Times New Roman" w:cs="Times New Roman"/>
          <w:sz w:val="28"/>
          <w:szCs w:val="28"/>
        </w:rPr>
        <w:t xml:space="preserve"> целом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F302E">
        <w:rPr>
          <w:rFonts w:ascii="Times New Roman" w:hAnsi="Times New Roman" w:cs="Times New Roman"/>
          <w:sz w:val="28"/>
          <w:szCs w:val="28"/>
        </w:rPr>
        <w:t xml:space="preserve"> ПФО</w:t>
      </w:r>
      <w:r>
        <w:rPr>
          <w:rFonts w:ascii="Times New Roman" w:hAnsi="Times New Roman" w:cs="Times New Roman"/>
          <w:sz w:val="28"/>
          <w:szCs w:val="28"/>
        </w:rPr>
        <w:t xml:space="preserve">, из </w:t>
      </w:r>
      <w:r w:rsidRPr="006F302E"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302E">
        <w:rPr>
          <w:rFonts w:ascii="Times New Roman" w:hAnsi="Times New Roman" w:cs="Times New Roman"/>
          <w:sz w:val="28"/>
          <w:szCs w:val="28"/>
        </w:rPr>
        <w:t xml:space="preserve"> </w:t>
      </w:r>
      <w:r w:rsidRPr="006F3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Удмуртской Республике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1 254 патента</w:t>
      </w:r>
      <w:r w:rsidRPr="006F3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с </w:t>
      </w:r>
      <w:r w:rsidRPr="006F302E">
        <w:rPr>
          <w:rFonts w:ascii="Times New Roman" w:hAnsi="Times New Roman" w:cs="Times New Roman"/>
          <w:sz w:val="28"/>
          <w:szCs w:val="28"/>
        </w:rPr>
        <w:t xml:space="preserve"> нулевой ставкой в ПФО выдано </w:t>
      </w:r>
      <w:r>
        <w:rPr>
          <w:rFonts w:ascii="Times New Roman" w:hAnsi="Times New Roman" w:cs="Times New Roman"/>
          <w:sz w:val="28"/>
          <w:szCs w:val="28"/>
        </w:rPr>
        <w:t>757</w:t>
      </w:r>
      <w:r w:rsidRPr="006F302E">
        <w:rPr>
          <w:rFonts w:ascii="Times New Roman" w:hAnsi="Times New Roman" w:cs="Times New Roman"/>
          <w:sz w:val="28"/>
          <w:szCs w:val="28"/>
        </w:rPr>
        <w:t xml:space="preserve"> патентов, 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302E">
        <w:rPr>
          <w:rFonts w:ascii="Times New Roman" w:hAnsi="Times New Roman" w:cs="Times New Roman"/>
          <w:sz w:val="28"/>
          <w:szCs w:val="28"/>
        </w:rPr>
        <w:t xml:space="preserve"> Удмуртии –</w:t>
      </w:r>
      <w:r>
        <w:rPr>
          <w:rFonts w:ascii="Times New Roman" w:hAnsi="Times New Roman" w:cs="Times New Roman"/>
          <w:sz w:val="28"/>
          <w:szCs w:val="28"/>
        </w:rPr>
        <w:t xml:space="preserve"> 675 </w:t>
      </w:r>
      <w:r w:rsidRPr="00D925FB">
        <w:rPr>
          <w:rFonts w:ascii="Times New Roman" w:hAnsi="Times New Roman" w:cs="Times New Roman"/>
          <w:sz w:val="28"/>
          <w:szCs w:val="28"/>
        </w:rPr>
        <w:t xml:space="preserve">патентов. Отсюда видно, что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25FB">
        <w:rPr>
          <w:rFonts w:ascii="Times New Roman" w:hAnsi="Times New Roman" w:cs="Times New Roman"/>
          <w:sz w:val="28"/>
          <w:szCs w:val="28"/>
        </w:rPr>
        <w:t xml:space="preserve">ПФО наибольшее количество патентов по данным видам деятельности с нулевой ставкой выдано в </w:t>
      </w:r>
      <w:r w:rsidRPr="00D92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Удмуртской Республике</w:t>
      </w:r>
      <w:r w:rsidRPr="00D925FB">
        <w:rPr>
          <w:rFonts w:ascii="Times New Roman" w:hAnsi="Times New Roman" w:cs="Times New Roman"/>
          <w:sz w:val="28"/>
          <w:szCs w:val="28"/>
        </w:rPr>
        <w:t>.</w:t>
      </w:r>
    </w:p>
    <w:p w:rsidR="00022DC5" w:rsidRPr="001063D5" w:rsidRDefault="00022DC5" w:rsidP="00022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соответствии с данными УФНС по УР, основная </w:t>
      </w:r>
      <w:r w:rsidRPr="003908B5">
        <w:rPr>
          <w:rFonts w:ascii="Times New Roman" w:hAnsi="Times New Roman" w:cs="Times New Roman"/>
          <w:sz w:val="28"/>
          <w:szCs w:val="28"/>
        </w:rPr>
        <w:t>часть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применяющих нулевую ставку </w:t>
      </w:r>
      <w:r w:rsidRPr="003908B5">
        <w:rPr>
          <w:rFonts w:ascii="Times New Roman" w:hAnsi="Times New Roman" w:cs="Times New Roman"/>
          <w:sz w:val="28"/>
          <w:szCs w:val="28"/>
        </w:rPr>
        <w:t>по патентной системе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по указанным видам деятельности, официально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имеют наёмных работников и не платят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них страховые </w:t>
      </w:r>
      <w:r w:rsidRPr="001063D5">
        <w:rPr>
          <w:rFonts w:ascii="Times New Roman" w:hAnsi="Times New Roman" w:cs="Times New Roman"/>
          <w:sz w:val="28"/>
          <w:szCs w:val="28"/>
        </w:rPr>
        <w:t xml:space="preserve">взносы во внебюджетные фонды. </w:t>
      </w:r>
    </w:p>
    <w:p w:rsidR="00022DC5" w:rsidRPr="00DC464F" w:rsidRDefault="00022DC5" w:rsidP="0002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даёт основания полагать, что в </w:t>
      </w:r>
      <w:r w:rsidRPr="006F302E">
        <w:rPr>
          <w:color w:val="000000"/>
          <w:sz w:val="28"/>
          <w:szCs w:val="28"/>
          <w:shd w:val="clear" w:color="auto" w:fill="FFFFFF"/>
        </w:rPr>
        <w:t xml:space="preserve">Удмуртской Республике </w:t>
      </w:r>
      <w:r>
        <w:rPr>
          <w:sz w:val="28"/>
          <w:szCs w:val="28"/>
        </w:rPr>
        <w:t>индивидуальные предприниматели используют «налоговые каникулы»</w:t>
      </w:r>
      <w:r w:rsidRPr="006219B9">
        <w:rPr>
          <w:sz w:val="28"/>
          <w:szCs w:val="28"/>
        </w:rPr>
        <w:t xml:space="preserve"> </w:t>
      </w:r>
      <w:r w:rsidRPr="00C453E0">
        <w:rPr>
          <w:sz w:val="28"/>
          <w:szCs w:val="28"/>
        </w:rPr>
        <w:t xml:space="preserve">по </w:t>
      </w:r>
      <w:r>
        <w:rPr>
          <w:sz w:val="28"/>
          <w:szCs w:val="28"/>
        </w:rPr>
        <w:lastRenderedPageBreak/>
        <w:t xml:space="preserve">данным </w:t>
      </w:r>
      <w:r w:rsidRPr="00C453E0">
        <w:rPr>
          <w:sz w:val="28"/>
          <w:szCs w:val="28"/>
        </w:rPr>
        <w:t>видам деятельности</w:t>
      </w:r>
      <w:r>
        <w:rPr>
          <w:sz w:val="28"/>
          <w:szCs w:val="28"/>
        </w:rPr>
        <w:t xml:space="preserve"> в качестве схемы по уходу от налогообложения и от </w:t>
      </w:r>
      <w:r w:rsidRPr="00DC464F">
        <w:rPr>
          <w:sz w:val="28"/>
          <w:szCs w:val="28"/>
        </w:rPr>
        <w:t>уплаты страховых взносов.</w:t>
      </w:r>
    </w:p>
    <w:p w:rsidR="00022DC5" w:rsidRDefault="00022DC5" w:rsidP="00022DC5">
      <w:pPr>
        <w:ind w:firstLine="709"/>
        <w:jc w:val="both"/>
        <w:rPr>
          <w:sz w:val="28"/>
          <w:szCs w:val="28"/>
        </w:rPr>
      </w:pPr>
      <w:r w:rsidRPr="00DC464F">
        <w:rPr>
          <w:sz w:val="28"/>
          <w:szCs w:val="28"/>
        </w:rPr>
        <w:t>Пунктом 4 статьи 346.20 НК РФ установлено, что налогоплательщики,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  <w:r w:rsidRPr="004B2C22">
        <w:rPr>
          <w:sz w:val="28"/>
          <w:szCs w:val="28"/>
        </w:rPr>
        <w:t xml:space="preserve"> </w:t>
      </w:r>
    </w:p>
    <w:p w:rsidR="00022DC5" w:rsidRPr="0049787B" w:rsidRDefault="00022DC5" w:rsidP="00022DC5">
      <w:pPr>
        <w:pStyle w:val="a9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sz w:val="28"/>
          <w:szCs w:val="28"/>
        </w:rPr>
      </w:pPr>
      <w:proofErr w:type="gramStart"/>
      <w:r w:rsidRPr="004B2C22">
        <w:rPr>
          <w:sz w:val="28"/>
          <w:szCs w:val="28"/>
        </w:rPr>
        <w:t>В связи с вышеизложенным и в целях устранения ухудшающих положений в отношении  налогоплательщиков</w:t>
      </w:r>
      <w:r>
        <w:rPr>
          <w:sz w:val="28"/>
          <w:szCs w:val="28"/>
        </w:rPr>
        <w:t>, впервые зарегистрированных</w:t>
      </w:r>
      <w:r w:rsidRPr="004B2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2018 году </w:t>
      </w:r>
      <w:r w:rsidRPr="004B2C22">
        <w:rPr>
          <w:sz w:val="28"/>
          <w:szCs w:val="28"/>
        </w:rPr>
        <w:t xml:space="preserve">и во избежание судебных разбирательств, руководствуясь пунктом 4 статьи 5, статьей 6 НК РФ, в проекте закона предлагается </w:t>
      </w:r>
      <w:r>
        <w:rPr>
          <w:sz w:val="28"/>
          <w:szCs w:val="28"/>
        </w:rPr>
        <w:t>прописа</w:t>
      </w:r>
      <w:r w:rsidRPr="004B2C22">
        <w:rPr>
          <w:sz w:val="28"/>
          <w:szCs w:val="28"/>
        </w:rPr>
        <w:t xml:space="preserve">ть, что </w:t>
      </w:r>
      <w:r>
        <w:rPr>
          <w:sz w:val="28"/>
          <w:szCs w:val="28"/>
        </w:rPr>
        <w:t xml:space="preserve">налогоплательщики, </w:t>
      </w:r>
      <w:r w:rsidRPr="0049787B">
        <w:rPr>
          <w:sz w:val="28"/>
          <w:szCs w:val="28"/>
        </w:rPr>
        <w:t xml:space="preserve">впервые зарегистрированные в 2018 году и воспользовавшиеся правом на применение ставки 0 процентов при применении патентной системы налогообложения, в отношении </w:t>
      </w:r>
      <w:r>
        <w:rPr>
          <w:sz w:val="28"/>
          <w:szCs w:val="28"/>
        </w:rPr>
        <w:t>вышеуказанных</w:t>
      </w:r>
      <w:proofErr w:type="gramEnd"/>
      <w:r>
        <w:rPr>
          <w:sz w:val="28"/>
          <w:szCs w:val="28"/>
        </w:rPr>
        <w:t xml:space="preserve"> </w:t>
      </w:r>
      <w:r w:rsidRPr="0049787B">
        <w:rPr>
          <w:sz w:val="28"/>
          <w:szCs w:val="28"/>
        </w:rPr>
        <w:t xml:space="preserve">видов предпринимательской деятельности, сохранят право применять </w:t>
      </w:r>
      <w:r>
        <w:rPr>
          <w:sz w:val="28"/>
          <w:szCs w:val="28"/>
        </w:rPr>
        <w:t>«налоговые каникулы»</w:t>
      </w:r>
      <w:r w:rsidRPr="006219B9">
        <w:rPr>
          <w:sz w:val="28"/>
          <w:szCs w:val="28"/>
        </w:rPr>
        <w:t xml:space="preserve"> </w:t>
      </w:r>
      <w:r w:rsidRPr="00C453E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данным </w:t>
      </w:r>
      <w:r w:rsidRPr="00C453E0">
        <w:rPr>
          <w:sz w:val="28"/>
          <w:szCs w:val="28"/>
        </w:rPr>
        <w:t>видам деятельности</w:t>
      </w:r>
      <w:r w:rsidRPr="0049787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 xml:space="preserve">всего </w:t>
      </w:r>
      <w:r w:rsidRPr="0049787B">
        <w:rPr>
          <w:sz w:val="28"/>
          <w:szCs w:val="28"/>
        </w:rPr>
        <w:t>2019 года.</w:t>
      </w:r>
    </w:p>
    <w:p w:rsidR="00022DC5" w:rsidRDefault="00022DC5" w:rsidP="00022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79A">
        <w:rPr>
          <w:rFonts w:eastAsia="Calibri"/>
          <w:bCs/>
          <w:sz w:val="28"/>
          <w:szCs w:val="28"/>
        </w:rPr>
        <w:t xml:space="preserve">Принятие </w:t>
      </w:r>
      <w:r>
        <w:rPr>
          <w:rFonts w:eastAsia="Calibri"/>
          <w:bCs/>
          <w:sz w:val="28"/>
          <w:szCs w:val="28"/>
        </w:rPr>
        <w:t>п</w:t>
      </w:r>
      <w:r w:rsidRPr="0049179A">
        <w:rPr>
          <w:rFonts w:eastAsia="Calibri"/>
          <w:bCs/>
          <w:sz w:val="28"/>
          <w:szCs w:val="28"/>
        </w:rPr>
        <w:t>роекта закона не потребует дополнительного финансирования из бюджета Удмуртской Республики</w:t>
      </w:r>
      <w:r w:rsidRPr="0049179A">
        <w:rPr>
          <w:sz w:val="28"/>
          <w:szCs w:val="28"/>
        </w:rPr>
        <w:t>.</w:t>
      </w:r>
    </w:p>
    <w:p w:rsidR="001C5734" w:rsidRDefault="001C5734" w:rsidP="001C5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5734" w:rsidRDefault="001C5734" w:rsidP="001C5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734" w:rsidRDefault="001C5734" w:rsidP="001C5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734" w:rsidRDefault="001C5734" w:rsidP="001C5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экономики</w:t>
      </w:r>
    </w:p>
    <w:p w:rsidR="006375BA" w:rsidRPr="001C5734" w:rsidRDefault="001C5734" w:rsidP="00D0112C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                           М.И. Тумин </w:t>
      </w:r>
    </w:p>
    <w:sectPr w:rsidR="006375BA" w:rsidRPr="001C5734" w:rsidSect="00D0112C">
      <w:headerReference w:type="even" r:id="rId9"/>
      <w:headerReference w:type="default" r:id="rId10"/>
      <w:pgSz w:w="11906" w:h="16838"/>
      <w:pgMar w:top="851" w:right="567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71" w:rsidRDefault="00CB2971">
      <w:r>
        <w:separator/>
      </w:r>
    </w:p>
  </w:endnote>
  <w:endnote w:type="continuationSeparator" w:id="0">
    <w:p w:rsidR="00CB2971" w:rsidRDefault="00CB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71" w:rsidRDefault="00CB2971">
      <w:r>
        <w:separator/>
      </w:r>
    </w:p>
  </w:footnote>
  <w:footnote w:type="continuationSeparator" w:id="0">
    <w:p w:rsidR="00CB2971" w:rsidRDefault="00CB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71" w:rsidRDefault="00CB2971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2971" w:rsidRDefault="00CB29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71" w:rsidRDefault="00CB2971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2DC5">
      <w:rPr>
        <w:rStyle w:val="a6"/>
        <w:noProof/>
      </w:rPr>
      <w:t>2</w:t>
    </w:r>
    <w:r>
      <w:rPr>
        <w:rStyle w:val="a6"/>
      </w:rPr>
      <w:fldChar w:fldCharType="end"/>
    </w:r>
  </w:p>
  <w:p w:rsidR="00CB2971" w:rsidRDefault="00CB29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5854D0"/>
    <w:lvl w:ilvl="0">
      <w:numFmt w:val="bullet"/>
      <w:lvlText w:val="*"/>
      <w:lvlJc w:val="left"/>
    </w:lvl>
  </w:abstractNum>
  <w:abstractNum w:abstractNumId="1">
    <w:nsid w:val="08BA6851"/>
    <w:multiLevelType w:val="multilevel"/>
    <w:tmpl w:val="6C6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87193"/>
    <w:multiLevelType w:val="hybridMultilevel"/>
    <w:tmpl w:val="7924F0F0"/>
    <w:lvl w:ilvl="0" w:tplc="2A6CE4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2A2890"/>
    <w:multiLevelType w:val="hybridMultilevel"/>
    <w:tmpl w:val="69A8E71A"/>
    <w:lvl w:ilvl="0" w:tplc="9248528E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">
    <w:nsid w:val="43F72360"/>
    <w:multiLevelType w:val="hybridMultilevel"/>
    <w:tmpl w:val="8B4092A6"/>
    <w:lvl w:ilvl="0" w:tplc="0546C6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FB5CB6"/>
    <w:multiLevelType w:val="hybridMultilevel"/>
    <w:tmpl w:val="96966960"/>
    <w:lvl w:ilvl="0" w:tplc="0DE08610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>
    <w:nsid w:val="4D6F6423"/>
    <w:multiLevelType w:val="hybridMultilevel"/>
    <w:tmpl w:val="A9C6B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065C7D"/>
    <w:multiLevelType w:val="hybridMultilevel"/>
    <w:tmpl w:val="A66AA488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F4D6320"/>
    <w:multiLevelType w:val="hybridMultilevel"/>
    <w:tmpl w:val="037ACF82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681B2671"/>
    <w:multiLevelType w:val="hybridMultilevel"/>
    <w:tmpl w:val="FA38F300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7966121E"/>
    <w:multiLevelType w:val="hybridMultilevel"/>
    <w:tmpl w:val="64FCA85C"/>
    <w:lvl w:ilvl="0" w:tplc="0E7E41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14C"/>
    <w:rsid w:val="00022DC5"/>
    <w:rsid w:val="000231E2"/>
    <w:rsid w:val="00025000"/>
    <w:rsid w:val="00025737"/>
    <w:rsid w:val="00030991"/>
    <w:rsid w:val="0004201E"/>
    <w:rsid w:val="00050051"/>
    <w:rsid w:val="000630DD"/>
    <w:rsid w:val="0006477B"/>
    <w:rsid w:val="00070A9F"/>
    <w:rsid w:val="00071D5A"/>
    <w:rsid w:val="00072611"/>
    <w:rsid w:val="00074752"/>
    <w:rsid w:val="000803BD"/>
    <w:rsid w:val="000819CA"/>
    <w:rsid w:val="00090354"/>
    <w:rsid w:val="000943CA"/>
    <w:rsid w:val="00094A02"/>
    <w:rsid w:val="00095A12"/>
    <w:rsid w:val="000A5547"/>
    <w:rsid w:val="000A5AE2"/>
    <w:rsid w:val="000C0F3B"/>
    <w:rsid w:val="000C2F0D"/>
    <w:rsid w:val="000C3124"/>
    <w:rsid w:val="000D63BE"/>
    <w:rsid w:val="000E2A6D"/>
    <w:rsid w:val="000F4A80"/>
    <w:rsid w:val="00101260"/>
    <w:rsid w:val="00105AFA"/>
    <w:rsid w:val="00120C59"/>
    <w:rsid w:val="00124FD1"/>
    <w:rsid w:val="00146ECC"/>
    <w:rsid w:val="001476DB"/>
    <w:rsid w:val="00152943"/>
    <w:rsid w:val="00155C73"/>
    <w:rsid w:val="0019036C"/>
    <w:rsid w:val="0019308E"/>
    <w:rsid w:val="001930CD"/>
    <w:rsid w:val="0019468F"/>
    <w:rsid w:val="001951F0"/>
    <w:rsid w:val="001A5CE6"/>
    <w:rsid w:val="001C020B"/>
    <w:rsid w:val="001C37BB"/>
    <w:rsid w:val="001C5734"/>
    <w:rsid w:val="001C5CC7"/>
    <w:rsid w:val="001C6533"/>
    <w:rsid w:val="001C6BAF"/>
    <w:rsid w:val="001D3EB2"/>
    <w:rsid w:val="001D5440"/>
    <w:rsid w:val="001D62C8"/>
    <w:rsid w:val="001E1C13"/>
    <w:rsid w:val="001F30AC"/>
    <w:rsid w:val="001F792B"/>
    <w:rsid w:val="00203657"/>
    <w:rsid w:val="0020567D"/>
    <w:rsid w:val="00210848"/>
    <w:rsid w:val="0021488F"/>
    <w:rsid w:val="00223A0A"/>
    <w:rsid w:val="00223E71"/>
    <w:rsid w:val="00224E7E"/>
    <w:rsid w:val="002307A4"/>
    <w:rsid w:val="00233B6B"/>
    <w:rsid w:val="00263633"/>
    <w:rsid w:val="00264257"/>
    <w:rsid w:val="00276972"/>
    <w:rsid w:val="0028278C"/>
    <w:rsid w:val="002836F3"/>
    <w:rsid w:val="00293EC8"/>
    <w:rsid w:val="00296FC5"/>
    <w:rsid w:val="002A5181"/>
    <w:rsid w:val="002B1B02"/>
    <w:rsid w:val="002B4F18"/>
    <w:rsid w:val="002B7121"/>
    <w:rsid w:val="002C0628"/>
    <w:rsid w:val="002C558C"/>
    <w:rsid w:val="002D72D5"/>
    <w:rsid w:val="002F7A1A"/>
    <w:rsid w:val="00303259"/>
    <w:rsid w:val="003046E0"/>
    <w:rsid w:val="00313EC0"/>
    <w:rsid w:val="00315463"/>
    <w:rsid w:val="00323780"/>
    <w:rsid w:val="00343FF6"/>
    <w:rsid w:val="00347F2E"/>
    <w:rsid w:val="00352DC3"/>
    <w:rsid w:val="00356341"/>
    <w:rsid w:val="00360B26"/>
    <w:rsid w:val="0037460A"/>
    <w:rsid w:val="00376652"/>
    <w:rsid w:val="0038106D"/>
    <w:rsid w:val="0038747A"/>
    <w:rsid w:val="00387A89"/>
    <w:rsid w:val="003955E8"/>
    <w:rsid w:val="003A356D"/>
    <w:rsid w:val="003A59D0"/>
    <w:rsid w:val="003B0A1C"/>
    <w:rsid w:val="003B1AA3"/>
    <w:rsid w:val="003B2991"/>
    <w:rsid w:val="003B7E1F"/>
    <w:rsid w:val="003C436E"/>
    <w:rsid w:val="003C57C5"/>
    <w:rsid w:val="003D0639"/>
    <w:rsid w:val="003D0E9B"/>
    <w:rsid w:val="003D76B7"/>
    <w:rsid w:val="003D7746"/>
    <w:rsid w:val="003E33CF"/>
    <w:rsid w:val="003F19EE"/>
    <w:rsid w:val="00401012"/>
    <w:rsid w:val="0040337F"/>
    <w:rsid w:val="00405355"/>
    <w:rsid w:val="00406515"/>
    <w:rsid w:val="004077AE"/>
    <w:rsid w:val="00420EF8"/>
    <w:rsid w:val="00431634"/>
    <w:rsid w:val="00434A97"/>
    <w:rsid w:val="0044104F"/>
    <w:rsid w:val="00446B84"/>
    <w:rsid w:val="0045357A"/>
    <w:rsid w:val="004558AC"/>
    <w:rsid w:val="00456B2D"/>
    <w:rsid w:val="00456F1A"/>
    <w:rsid w:val="00461E61"/>
    <w:rsid w:val="00475FF4"/>
    <w:rsid w:val="004821E0"/>
    <w:rsid w:val="004835D2"/>
    <w:rsid w:val="0049179A"/>
    <w:rsid w:val="0049275C"/>
    <w:rsid w:val="00496A50"/>
    <w:rsid w:val="004A10A2"/>
    <w:rsid w:val="004A33F3"/>
    <w:rsid w:val="004B2C22"/>
    <w:rsid w:val="004B52B2"/>
    <w:rsid w:val="004B63CD"/>
    <w:rsid w:val="004B6940"/>
    <w:rsid w:val="004C4135"/>
    <w:rsid w:val="004D3BDC"/>
    <w:rsid w:val="004E04E5"/>
    <w:rsid w:val="004E60FC"/>
    <w:rsid w:val="004F482E"/>
    <w:rsid w:val="00500DA4"/>
    <w:rsid w:val="005021C1"/>
    <w:rsid w:val="005034C9"/>
    <w:rsid w:val="005044D4"/>
    <w:rsid w:val="00506A67"/>
    <w:rsid w:val="0052041F"/>
    <w:rsid w:val="00534AA3"/>
    <w:rsid w:val="00536239"/>
    <w:rsid w:val="00540479"/>
    <w:rsid w:val="005459BB"/>
    <w:rsid w:val="00547BA9"/>
    <w:rsid w:val="00553CCD"/>
    <w:rsid w:val="00557573"/>
    <w:rsid w:val="00575759"/>
    <w:rsid w:val="00577BFE"/>
    <w:rsid w:val="005818F7"/>
    <w:rsid w:val="005838D1"/>
    <w:rsid w:val="005866A1"/>
    <w:rsid w:val="005A40CA"/>
    <w:rsid w:val="005A6247"/>
    <w:rsid w:val="005A67AD"/>
    <w:rsid w:val="005B1F47"/>
    <w:rsid w:val="005C5F51"/>
    <w:rsid w:val="005D1CBE"/>
    <w:rsid w:val="005D50E1"/>
    <w:rsid w:val="005E63AA"/>
    <w:rsid w:val="005E71AA"/>
    <w:rsid w:val="005F0972"/>
    <w:rsid w:val="005F115B"/>
    <w:rsid w:val="005F4976"/>
    <w:rsid w:val="00602FBC"/>
    <w:rsid w:val="00605A72"/>
    <w:rsid w:val="006101AE"/>
    <w:rsid w:val="006107FF"/>
    <w:rsid w:val="00615A92"/>
    <w:rsid w:val="006208B1"/>
    <w:rsid w:val="00626AA5"/>
    <w:rsid w:val="00626FD5"/>
    <w:rsid w:val="00631941"/>
    <w:rsid w:val="00634343"/>
    <w:rsid w:val="006375BA"/>
    <w:rsid w:val="006439FE"/>
    <w:rsid w:val="00643FAA"/>
    <w:rsid w:val="0065005C"/>
    <w:rsid w:val="0065788A"/>
    <w:rsid w:val="00663C00"/>
    <w:rsid w:val="006652F4"/>
    <w:rsid w:val="0066630A"/>
    <w:rsid w:val="00671CA5"/>
    <w:rsid w:val="00683966"/>
    <w:rsid w:val="00686450"/>
    <w:rsid w:val="006909AB"/>
    <w:rsid w:val="006978A0"/>
    <w:rsid w:val="006A1B7B"/>
    <w:rsid w:val="006A3D5E"/>
    <w:rsid w:val="006A43A1"/>
    <w:rsid w:val="006B1302"/>
    <w:rsid w:val="006D28BD"/>
    <w:rsid w:val="006D7FBC"/>
    <w:rsid w:val="006E14F9"/>
    <w:rsid w:val="006E24A0"/>
    <w:rsid w:val="006E3F80"/>
    <w:rsid w:val="006E523B"/>
    <w:rsid w:val="006F6C3C"/>
    <w:rsid w:val="00701D75"/>
    <w:rsid w:val="007073EF"/>
    <w:rsid w:val="007140D5"/>
    <w:rsid w:val="00730E35"/>
    <w:rsid w:val="00734970"/>
    <w:rsid w:val="00736B48"/>
    <w:rsid w:val="00737AA6"/>
    <w:rsid w:val="00740E52"/>
    <w:rsid w:val="00786387"/>
    <w:rsid w:val="007909E0"/>
    <w:rsid w:val="00792C28"/>
    <w:rsid w:val="00794010"/>
    <w:rsid w:val="007959B8"/>
    <w:rsid w:val="007967EA"/>
    <w:rsid w:val="007A05CE"/>
    <w:rsid w:val="007A23B2"/>
    <w:rsid w:val="007A56DA"/>
    <w:rsid w:val="007B42C1"/>
    <w:rsid w:val="007E270E"/>
    <w:rsid w:val="00804A42"/>
    <w:rsid w:val="008056F7"/>
    <w:rsid w:val="0081447B"/>
    <w:rsid w:val="0081697A"/>
    <w:rsid w:val="00816A5A"/>
    <w:rsid w:val="00833373"/>
    <w:rsid w:val="00840014"/>
    <w:rsid w:val="008408C7"/>
    <w:rsid w:val="00855A24"/>
    <w:rsid w:val="00865DCC"/>
    <w:rsid w:val="0087070A"/>
    <w:rsid w:val="00870E33"/>
    <w:rsid w:val="008741CC"/>
    <w:rsid w:val="00894AD6"/>
    <w:rsid w:val="008A4DDB"/>
    <w:rsid w:val="008B1368"/>
    <w:rsid w:val="008B4BD6"/>
    <w:rsid w:val="008B5DC7"/>
    <w:rsid w:val="008B7970"/>
    <w:rsid w:val="008C5720"/>
    <w:rsid w:val="008D02E1"/>
    <w:rsid w:val="008D30BE"/>
    <w:rsid w:val="008D6BF7"/>
    <w:rsid w:val="008E15E0"/>
    <w:rsid w:val="008E4359"/>
    <w:rsid w:val="008E4CED"/>
    <w:rsid w:val="008F1CBC"/>
    <w:rsid w:val="008F3C72"/>
    <w:rsid w:val="009050A0"/>
    <w:rsid w:val="00907080"/>
    <w:rsid w:val="00910433"/>
    <w:rsid w:val="00914E29"/>
    <w:rsid w:val="00923DAE"/>
    <w:rsid w:val="009262F0"/>
    <w:rsid w:val="00931C2C"/>
    <w:rsid w:val="00956795"/>
    <w:rsid w:val="0096392D"/>
    <w:rsid w:val="00976634"/>
    <w:rsid w:val="00976E1F"/>
    <w:rsid w:val="009777CF"/>
    <w:rsid w:val="0098134A"/>
    <w:rsid w:val="00982529"/>
    <w:rsid w:val="009854A7"/>
    <w:rsid w:val="00985F1D"/>
    <w:rsid w:val="0099073C"/>
    <w:rsid w:val="0099431A"/>
    <w:rsid w:val="009953BE"/>
    <w:rsid w:val="009964CF"/>
    <w:rsid w:val="009A0E09"/>
    <w:rsid w:val="009A3C29"/>
    <w:rsid w:val="009A5805"/>
    <w:rsid w:val="009A6106"/>
    <w:rsid w:val="009A6220"/>
    <w:rsid w:val="009A7605"/>
    <w:rsid w:val="009B5F50"/>
    <w:rsid w:val="009C479C"/>
    <w:rsid w:val="009C4BAC"/>
    <w:rsid w:val="009D0AFD"/>
    <w:rsid w:val="009D208D"/>
    <w:rsid w:val="009E23BF"/>
    <w:rsid w:val="009E5178"/>
    <w:rsid w:val="009E6066"/>
    <w:rsid w:val="009F2393"/>
    <w:rsid w:val="009F55FE"/>
    <w:rsid w:val="00A00D2C"/>
    <w:rsid w:val="00A12F2E"/>
    <w:rsid w:val="00A1399B"/>
    <w:rsid w:val="00A254DA"/>
    <w:rsid w:val="00A334CE"/>
    <w:rsid w:val="00A37A5B"/>
    <w:rsid w:val="00A4096E"/>
    <w:rsid w:val="00A42C31"/>
    <w:rsid w:val="00A50CE3"/>
    <w:rsid w:val="00A5269F"/>
    <w:rsid w:val="00A55CC9"/>
    <w:rsid w:val="00A61662"/>
    <w:rsid w:val="00A7135C"/>
    <w:rsid w:val="00A85EDF"/>
    <w:rsid w:val="00A95570"/>
    <w:rsid w:val="00AA2EE1"/>
    <w:rsid w:val="00AB53C9"/>
    <w:rsid w:val="00AB7056"/>
    <w:rsid w:val="00AB7CAD"/>
    <w:rsid w:val="00AC6726"/>
    <w:rsid w:val="00AD5FF2"/>
    <w:rsid w:val="00AD6F6F"/>
    <w:rsid w:val="00AE1FD8"/>
    <w:rsid w:val="00AE2AC0"/>
    <w:rsid w:val="00AE3167"/>
    <w:rsid w:val="00AF2EC1"/>
    <w:rsid w:val="00B02AD1"/>
    <w:rsid w:val="00B04229"/>
    <w:rsid w:val="00B1144A"/>
    <w:rsid w:val="00B237B6"/>
    <w:rsid w:val="00B27B93"/>
    <w:rsid w:val="00B347C5"/>
    <w:rsid w:val="00B35F0B"/>
    <w:rsid w:val="00B4010F"/>
    <w:rsid w:val="00B61C3E"/>
    <w:rsid w:val="00B70472"/>
    <w:rsid w:val="00B7140F"/>
    <w:rsid w:val="00B7209E"/>
    <w:rsid w:val="00B7499E"/>
    <w:rsid w:val="00B87A2C"/>
    <w:rsid w:val="00B91AE0"/>
    <w:rsid w:val="00B95270"/>
    <w:rsid w:val="00B95CA8"/>
    <w:rsid w:val="00BA7AA9"/>
    <w:rsid w:val="00BB40BE"/>
    <w:rsid w:val="00BB4DED"/>
    <w:rsid w:val="00BD01AC"/>
    <w:rsid w:val="00BD6407"/>
    <w:rsid w:val="00BE01B8"/>
    <w:rsid w:val="00BF7FD1"/>
    <w:rsid w:val="00C002F3"/>
    <w:rsid w:val="00C2124B"/>
    <w:rsid w:val="00C2474F"/>
    <w:rsid w:val="00C343E5"/>
    <w:rsid w:val="00C34F07"/>
    <w:rsid w:val="00C37581"/>
    <w:rsid w:val="00C453E0"/>
    <w:rsid w:val="00C532D8"/>
    <w:rsid w:val="00C63760"/>
    <w:rsid w:val="00C743D0"/>
    <w:rsid w:val="00C8057C"/>
    <w:rsid w:val="00C83500"/>
    <w:rsid w:val="00C91687"/>
    <w:rsid w:val="00C9498A"/>
    <w:rsid w:val="00CA203E"/>
    <w:rsid w:val="00CA2B0C"/>
    <w:rsid w:val="00CB2971"/>
    <w:rsid w:val="00CB5904"/>
    <w:rsid w:val="00CB6EA0"/>
    <w:rsid w:val="00CD2098"/>
    <w:rsid w:val="00CF384E"/>
    <w:rsid w:val="00CF614C"/>
    <w:rsid w:val="00D0112C"/>
    <w:rsid w:val="00D01914"/>
    <w:rsid w:val="00D056B4"/>
    <w:rsid w:val="00D228E4"/>
    <w:rsid w:val="00D25DE6"/>
    <w:rsid w:val="00D36BC8"/>
    <w:rsid w:val="00D46EAC"/>
    <w:rsid w:val="00D61E70"/>
    <w:rsid w:val="00D73E3E"/>
    <w:rsid w:val="00D81641"/>
    <w:rsid w:val="00D85873"/>
    <w:rsid w:val="00D9187B"/>
    <w:rsid w:val="00D97B64"/>
    <w:rsid w:val="00DA0AE8"/>
    <w:rsid w:val="00DA3BCB"/>
    <w:rsid w:val="00DA68C4"/>
    <w:rsid w:val="00DD048C"/>
    <w:rsid w:val="00DD1614"/>
    <w:rsid w:val="00DD5172"/>
    <w:rsid w:val="00DE2826"/>
    <w:rsid w:val="00DE2E01"/>
    <w:rsid w:val="00DE2E64"/>
    <w:rsid w:val="00DE3996"/>
    <w:rsid w:val="00DF62DA"/>
    <w:rsid w:val="00DF66DB"/>
    <w:rsid w:val="00DF6D1A"/>
    <w:rsid w:val="00E00ED3"/>
    <w:rsid w:val="00E122FC"/>
    <w:rsid w:val="00E14568"/>
    <w:rsid w:val="00E15EA1"/>
    <w:rsid w:val="00E32CD0"/>
    <w:rsid w:val="00E33638"/>
    <w:rsid w:val="00E4322F"/>
    <w:rsid w:val="00E8604D"/>
    <w:rsid w:val="00E916F2"/>
    <w:rsid w:val="00E940A6"/>
    <w:rsid w:val="00E965A5"/>
    <w:rsid w:val="00EB6987"/>
    <w:rsid w:val="00EC5EE4"/>
    <w:rsid w:val="00EC6AD9"/>
    <w:rsid w:val="00ED159E"/>
    <w:rsid w:val="00ED3187"/>
    <w:rsid w:val="00ED3289"/>
    <w:rsid w:val="00ED5967"/>
    <w:rsid w:val="00EE5CD1"/>
    <w:rsid w:val="00EF228B"/>
    <w:rsid w:val="00EF28A0"/>
    <w:rsid w:val="00EF3F02"/>
    <w:rsid w:val="00EF4615"/>
    <w:rsid w:val="00EF708E"/>
    <w:rsid w:val="00F02CA8"/>
    <w:rsid w:val="00F12024"/>
    <w:rsid w:val="00F14CB6"/>
    <w:rsid w:val="00F27813"/>
    <w:rsid w:val="00F27C0B"/>
    <w:rsid w:val="00F3420A"/>
    <w:rsid w:val="00F3544C"/>
    <w:rsid w:val="00F61A12"/>
    <w:rsid w:val="00F66DE7"/>
    <w:rsid w:val="00F74FF1"/>
    <w:rsid w:val="00F92AFF"/>
    <w:rsid w:val="00F9448A"/>
    <w:rsid w:val="00FA0585"/>
    <w:rsid w:val="00FA06FB"/>
    <w:rsid w:val="00FB3598"/>
    <w:rsid w:val="00FB7A86"/>
    <w:rsid w:val="00FC4FD8"/>
    <w:rsid w:val="00FD1D3A"/>
    <w:rsid w:val="00FD2039"/>
    <w:rsid w:val="00FD46C2"/>
    <w:rsid w:val="00FE0FC3"/>
    <w:rsid w:val="00FF2008"/>
    <w:rsid w:val="00FF4D8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322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1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F61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CF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614C"/>
  </w:style>
  <w:style w:type="paragraph" w:styleId="a7">
    <w:name w:val="Balloon Text"/>
    <w:basedOn w:val="a"/>
    <w:link w:val="a8"/>
    <w:uiPriority w:val="99"/>
    <w:semiHidden/>
    <w:unhideWhenUsed/>
    <w:rsid w:val="009A622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A62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C062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uiPriority w:val="99"/>
    <w:rsid w:val="002C558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2C558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2C558C"/>
    <w:pPr>
      <w:widowControl w:val="0"/>
      <w:autoSpaceDE w:val="0"/>
      <w:autoSpaceDN w:val="0"/>
      <w:adjustRightInd w:val="0"/>
      <w:spacing w:line="305" w:lineRule="exact"/>
      <w:ind w:hanging="240"/>
    </w:pPr>
  </w:style>
  <w:style w:type="paragraph" w:customStyle="1" w:styleId="Style8">
    <w:name w:val="Style8"/>
    <w:basedOn w:val="a"/>
    <w:uiPriority w:val="99"/>
    <w:rsid w:val="002C558C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16">
    <w:name w:val="Style16"/>
    <w:basedOn w:val="a"/>
    <w:uiPriority w:val="99"/>
    <w:rsid w:val="002C558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2">
    <w:name w:val="Font Style42"/>
    <w:uiPriority w:val="99"/>
    <w:rsid w:val="002C558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9953BE"/>
    <w:pPr>
      <w:ind w:left="708"/>
    </w:pPr>
  </w:style>
  <w:style w:type="character" w:styleId="aa">
    <w:name w:val="Hyperlink"/>
    <w:uiPriority w:val="99"/>
    <w:unhideWhenUsed/>
    <w:rsid w:val="00547BA9"/>
    <w:rPr>
      <w:color w:val="0000FF"/>
      <w:u w:val="single"/>
    </w:rPr>
  </w:style>
  <w:style w:type="paragraph" w:styleId="ab">
    <w:name w:val="No Spacing"/>
    <w:uiPriority w:val="1"/>
    <w:qFormat/>
    <w:rsid w:val="00553CCD"/>
    <w:pPr>
      <w:widowControl w:val="0"/>
    </w:pPr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semiHidden/>
    <w:unhideWhenUsed/>
    <w:rsid w:val="00553CCD"/>
    <w:pPr>
      <w:spacing w:before="100" w:beforeAutospacing="1" w:after="100" w:afterAutospacing="1"/>
    </w:pPr>
  </w:style>
  <w:style w:type="character" w:styleId="ad">
    <w:name w:val="annotation reference"/>
    <w:uiPriority w:val="99"/>
    <w:semiHidden/>
    <w:unhideWhenUsed/>
    <w:rsid w:val="005F11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115B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5F115B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15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F115B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uiPriority w:val="9"/>
    <w:rsid w:val="00E4322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FontStyle11">
    <w:name w:val="Font Style11"/>
    <w:uiPriority w:val="99"/>
    <w:rsid w:val="00E4322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F83B-E83C-4513-A84E-CCD900C4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UR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pohodina</dc:creator>
  <cp:lastModifiedBy>Горяева</cp:lastModifiedBy>
  <cp:revision>47</cp:revision>
  <cp:lastPrinted>2017-10-16T04:59:00Z</cp:lastPrinted>
  <dcterms:created xsi:type="dcterms:W3CDTF">2017-10-25T11:27:00Z</dcterms:created>
  <dcterms:modified xsi:type="dcterms:W3CDTF">2018-10-24T13:41:00Z</dcterms:modified>
</cp:coreProperties>
</file>