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C48" w:rsidRPr="002519CA" w:rsidRDefault="00E10C48" w:rsidP="00E10C48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2519CA">
        <w:rPr>
          <w:b/>
          <w:sz w:val="27"/>
          <w:szCs w:val="27"/>
        </w:rPr>
        <w:t xml:space="preserve">Финансово-экономическое обоснование </w:t>
      </w:r>
    </w:p>
    <w:p w:rsidR="00E10C48" w:rsidRPr="002519CA" w:rsidRDefault="00E10C48" w:rsidP="00E10C48">
      <w:pPr>
        <w:jc w:val="center"/>
        <w:rPr>
          <w:b/>
          <w:sz w:val="27"/>
          <w:szCs w:val="27"/>
        </w:rPr>
      </w:pPr>
      <w:r w:rsidRPr="002519CA">
        <w:rPr>
          <w:b/>
          <w:sz w:val="27"/>
          <w:szCs w:val="27"/>
        </w:rPr>
        <w:t>к проекту закона Удмуртской Республики «О внесении изменений в отдельные законы Удмуртской Республики»</w:t>
      </w:r>
    </w:p>
    <w:p w:rsidR="00D15664" w:rsidRPr="002519CA" w:rsidRDefault="00D15664" w:rsidP="00E87D31">
      <w:pPr>
        <w:jc w:val="center"/>
        <w:rPr>
          <w:sz w:val="27"/>
          <w:szCs w:val="27"/>
        </w:rPr>
      </w:pPr>
    </w:p>
    <w:p w:rsidR="00D82036" w:rsidRPr="002519CA" w:rsidRDefault="00D82036" w:rsidP="00E87D31">
      <w:pPr>
        <w:jc w:val="center"/>
        <w:rPr>
          <w:sz w:val="27"/>
          <w:szCs w:val="27"/>
        </w:rPr>
      </w:pPr>
    </w:p>
    <w:p w:rsidR="00EB6528" w:rsidRPr="002519CA" w:rsidRDefault="00EB6528" w:rsidP="00EB6528">
      <w:pPr>
        <w:ind w:firstLine="709"/>
        <w:jc w:val="both"/>
        <w:rPr>
          <w:sz w:val="27"/>
          <w:szCs w:val="27"/>
        </w:rPr>
      </w:pPr>
      <w:r w:rsidRPr="002519CA">
        <w:rPr>
          <w:rFonts w:eastAsia="Calibri"/>
          <w:sz w:val="27"/>
          <w:szCs w:val="27"/>
          <w:lang w:eastAsia="en-US"/>
        </w:rPr>
        <w:t>При</w:t>
      </w:r>
      <w:r w:rsidR="00682BF5" w:rsidRPr="002519CA">
        <w:rPr>
          <w:rFonts w:eastAsia="Calibri"/>
          <w:sz w:val="27"/>
          <w:szCs w:val="27"/>
          <w:lang w:eastAsia="en-US"/>
        </w:rPr>
        <w:t>н</w:t>
      </w:r>
      <w:r w:rsidRPr="002519CA">
        <w:rPr>
          <w:rFonts w:eastAsia="Calibri"/>
          <w:sz w:val="27"/>
          <w:szCs w:val="27"/>
          <w:lang w:eastAsia="en-US"/>
        </w:rPr>
        <w:t xml:space="preserve">ятие </w:t>
      </w:r>
      <w:r w:rsidRPr="002519CA">
        <w:rPr>
          <w:sz w:val="27"/>
          <w:szCs w:val="27"/>
        </w:rPr>
        <w:t xml:space="preserve">проекта закона Удмуртской Республики </w:t>
      </w:r>
      <w:r w:rsidR="00E10C48" w:rsidRPr="002519CA">
        <w:rPr>
          <w:b/>
          <w:sz w:val="27"/>
          <w:szCs w:val="27"/>
        </w:rPr>
        <w:t>«</w:t>
      </w:r>
      <w:r w:rsidR="00E10C48" w:rsidRPr="002519CA">
        <w:rPr>
          <w:sz w:val="27"/>
          <w:szCs w:val="27"/>
        </w:rPr>
        <w:t>О внесении изменений в отдельные законы Удмуртской Республики»</w:t>
      </w:r>
      <w:r w:rsidRPr="002519CA">
        <w:rPr>
          <w:rFonts w:eastAsia="NotDefSpecial"/>
          <w:sz w:val="27"/>
          <w:szCs w:val="27"/>
        </w:rPr>
        <w:t xml:space="preserve"> позволит увеличить доходную часть бюджета Удмуртской Республики.</w:t>
      </w:r>
    </w:p>
    <w:p w:rsidR="0051578F" w:rsidRPr="002519CA" w:rsidRDefault="0051578F" w:rsidP="0051578F">
      <w:pPr>
        <w:pStyle w:val="ConsNonformat"/>
        <w:widowControl/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2519CA">
        <w:rPr>
          <w:rFonts w:ascii="Times New Roman" w:hAnsi="Times New Roman"/>
          <w:sz w:val="27"/>
          <w:szCs w:val="27"/>
        </w:rPr>
        <w:t>Увеличение налоговых ставок транспортного налога позволит дополнительно привлекать в бюджет Удмуртской Республики около</w:t>
      </w:r>
      <w:r w:rsidR="0096181E" w:rsidRPr="002519CA">
        <w:rPr>
          <w:rFonts w:ascii="Times New Roman" w:hAnsi="Times New Roman"/>
          <w:sz w:val="27"/>
          <w:szCs w:val="27"/>
        </w:rPr>
        <w:t xml:space="preserve"> 272 </w:t>
      </w:r>
      <w:r w:rsidRPr="002519CA">
        <w:rPr>
          <w:rFonts w:ascii="Times New Roman" w:hAnsi="Times New Roman"/>
          <w:sz w:val="27"/>
          <w:szCs w:val="27"/>
        </w:rPr>
        <w:t xml:space="preserve">млн. рублей (в 2019 году – </w:t>
      </w:r>
      <w:r w:rsidR="007D30F6" w:rsidRPr="002519CA">
        <w:rPr>
          <w:rFonts w:ascii="Times New Roman" w:hAnsi="Times New Roman"/>
          <w:sz w:val="27"/>
          <w:szCs w:val="27"/>
        </w:rPr>
        <w:t>24</w:t>
      </w:r>
      <w:r w:rsidRPr="002519CA">
        <w:rPr>
          <w:rFonts w:ascii="Times New Roman" w:hAnsi="Times New Roman"/>
          <w:sz w:val="27"/>
          <w:szCs w:val="27"/>
        </w:rPr>
        <w:t xml:space="preserve"> млн. рублей от юридических лиц, в 2020 году –</w:t>
      </w:r>
      <w:r w:rsidR="0096181E" w:rsidRPr="002519CA">
        <w:rPr>
          <w:rFonts w:ascii="Times New Roman" w:hAnsi="Times New Roman"/>
          <w:sz w:val="27"/>
          <w:szCs w:val="27"/>
        </w:rPr>
        <w:t xml:space="preserve"> 248 </w:t>
      </w:r>
      <w:r w:rsidRPr="002519CA">
        <w:rPr>
          <w:rFonts w:ascii="Times New Roman" w:hAnsi="Times New Roman"/>
          <w:sz w:val="27"/>
          <w:szCs w:val="27"/>
        </w:rPr>
        <w:t>млн. рублей от физических лиц).</w:t>
      </w:r>
    </w:p>
    <w:p w:rsidR="007D30F6" w:rsidRPr="002519CA" w:rsidRDefault="000421E1" w:rsidP="0051578F">
      <w:pPr>
        <w:pStyle w:val="ConsNonformat"/>
        <w:widowControl/>
        <w:ind w:right="-1" w:firstLine="709"/>
        <w:jc w:val="both"/>
        <w:rPr>
          <w:rFonts w:ascii="Times New Roman" w:hAnsi="Times New Roman"/>
          <w:sz w:val="27"/>
          <w:szCs w:val="27"/>
        </w:rPr>
      </w:pPr>
      <w:r w:rsidRPr="002519CA">
        <w:rPr>
          <w:rFonts w:ascii="Times New Roman" w:hAnsi="Times New Roman"/>
          <w:sz w:val="27"/>
          <w:szCs w:val="27"/>
        </w:rPr>
        <w:t>П</w:t>
      </w:r>
      <w:r w:rsidR="007D30F6" w:rsidRPr="002519CA">
        <w:rPr>
          <w:rFonts w:ascii="Times New Roman" w:hAnsi="Times New Roman"/>
          <w:sz w:val="27"/>
          <w:szCs w:val="27"/>
        </w:rPr>
        <w:t xml:space="preserve">редоставление льгот по уплате транспортного налога в размере </w:t>
      </w:r>
      <w:r w:rsidR="00E10C48" w:rsidRPr="002519CA">
        <w:rPr>
          <w:rFonts w:ascii="Times New Roman" w:hAnsi="Times New Roman"/>
          <w:sz w:val="27"/>
          <w:szCs w:val="27"/>
        </w:rPr>
        <w:t xml:space="preserve">                          </w:t>
      </w:r>
      <w:r w:rsidR="007D30F6" w:rsidRPr="002519CA">
        <w:rPr>
          <w:rFonts w:ascii="Times New Roman" w:hAnsi="Times New Roman"/>
          <w:sz w:val="27"/>
          <w:szCs w:val="27"/>
        </w:rPr>
        <w:t>50 процентов от размера соответствующей ставки налога на одно транспортное средство, мощность двигателя которого не превышает 150 лошадиных сил пенсионерам всех категорий,</w:t>
      </w:r>
      <w:r w:rsidR="00B55E0C" w:rsidRPr="002519CA">
        <w:rPr>
          <w:rFonts w:ascii="Times New Roman" w:hAnsi="Times New Roman"/>
          <w:sz w:val="27"/>
          <w:szCs w:val="27"/>
        </w:rPr>
        <w:t xml:space="preserve"> ветеранам боевых действий</w:t>
      </w:r>
      <w:r w:rsidR="00FC26BC" w:rsidRPr="002519CA">
        <w:rPr>
          <w:rFonts w:ascii="Times New Roman" w:hAnsi="Times New Roman"/>
          <w:sz w:val="27"/>
          <w:szCs w:val="27"/>
        </w:rPr>
        <w:t>, повлечет</w:t>
      </w:r>
      <w:r w:rsidR="007D30F6" w:rsidRPr="002519CA">
        <w:rPr>
          <w:rFonts w:ascii="Times New Roman" w:hAnsi="Times New Roman"/>
          <w:sz w:val="27"/>
          <w:szCs w:val="27"/>
        </w:rPr>
        <w:t xml:space="preserve"> </w:t>
      </w:r>
      <w:r w:rsidR="00FC26BC" w:rsidRPr="002519CA">
        <w:rPr>
          <w:rFonts w:ascii="Times New Roman" w:hAnsi="Times New Roman"/>
          <w:sz w:val="27"/>
          <w:szCs w:val="27"/>
        </w:rPr>
        <w:t>снижение</w:t>
      </w:r>
      <w:r w:rsidRPr="002519CA">
        <w:rPr>
          <w:rFonts w:ascii="Times New Roman" w:hAnsi="Times New Roman"/>
          <w:sz w:val="27"/>
          <w:szCs w:val="27"/>
        </w:rPr>
        <w:t xml:space="preserve"> дополнительного</w:t>
      </w:r>
      <w:r w:rsidR="00FC26BC" w:rsidRPr="002519CA">
        <w:rPr>
          <w:rFonts w:ascii="Times New Roman" w:hAnsi="Times New Roman"/>
          <w:sz w:val="27"/>
          <w:szCs w:val="27"/>
        </w:rPr>
        <w:t xml:space="preserve"> поступления транспортного налога в бюджет Удмуртской Республики в  2020 году на </w:t>
      </w:r>
      <w:r w:rsidR="00B55E0C" w:rsidRPr="002519CA">
        <w:rPr>
          <w:rFonts w:ascii="Times New Roman" w:hAnsi="Times New Roman"/>
          <w:sz w:val="27"/>
          <w:szCs w:val="27"/>
        </w:rPr>
        <w:t xml:space="preserve">31,7 </w:t>
      </w:r>
      <w:r w:rsidR="00FC26BC" w:rsidRPr="002519CA">
        <w:rPr>
          <w:rFonts w:ascii="Times New Roman" w:hAnsi="Times New Roman"/>
          <w:sz w:val="27"/>
          <w:szCs w:val="27"/>
        </w:rPr>
        <w:t>млн. рублей.</w:t>
      </w:r>
    </w:p>
    <w:p w:rsidR="00FC26BC" w:rsidRPr="002519CA" w:rsidRDefault="00840B42" w:rsidP="00EB6528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519CA">
        <w:rPr>
          <w:rFonts w:eastAsia="Calibri"/>
          <w:sz w:val="27"/>
          <w:szCs w:val="27"/>
          <w:lang w:eastAsia="en-US"/>
        </w:rPr>
        <w:t>В результате отмены</w:t>
      </w:r>
      <w:r w:rsidRPr="002519CA">
        <w:rPr>
          <w:sz w:val="27"/>
          <w:szCs w:val="27"/>
        </w:rPr>
        <w:t xml:space="preserve"> невостребованных налоговых льгот</w:t>
      </w:r>
      <w:r w:rsidR="00FC26BC" w:rsidRPr="002519CA">
        <w:rPr>
          <w:sz w:val="27"/>
          <w:szCs w:val="27"/>
        </w:rPr>
        <w:t xml:space="preserve"> </w:t>
      </w:r>
      <w:r w:rsidRPr="002519CA">
        <w:rPr>
          <w:sz w:val="27"/>
          <w:szCs w:val="27"/>
        </w:rPr>
        <w:t>и льгот, имеющих низкую эффективность</w:t>
      </w:r>
      <w:r w:rsidR="0054300D" w:rsidRPr="002519CA">
        <w:rPr>
          <w:sz w:val="27"/>
          <w:szCs w:val="27"/>
        </w:rPr>
        <w:t xml:space="preserve"> </w:t>
      </w:r>
      <w:r w:rsidRPr="002519CA">
        <w:rPr>
          <w:sz w:val="27"/>
          <w:szCs w:val="27"/>
        </w:rPr>
        <w:t>по результатам оценки за 2017 год</w:t>
      </w:r>
      <w:r w:rsidR="0078533C" w:rsidRPr="002519CA">
        <w:rPr>
          <w:sz w:val="27"/>
          <w:szCs w:val="27"/>
        </w:rPr>
        <w:t xml:space="preserve"> по налогу на имущество организаций и транспортному налогу</w:t>
      </w:r>
      <w:r w:rsidR="00EE1072" w:rsidRPr="002519CA">
        <w:rPr>
          <w:sz w:val="27"/>
          <w:szCs w:val="27"/>
        </w:rPr>
        <w:t xml:space="preserve">, </w:t>
      </w:r>
      <w:r w:rsidRPr="002519CA">
        <w:rPr>
          <w:rFonts w:eastAsia="Calibri"/>
          <w:sz w:val="27"/>
          <w:szCs w:val="27"/>
          <w:lang w:eastAsia="en-US"/>
        </w:rPr>
        <w:t xml:space="preserve">дополнительные поступления в бюджет Удмуртской Республики </w:t>
      </w:r>
      <w:r w:rsidR="00886E12" w:rsidRPr="002519CA">
        <w:rPr>
          <w:rFonts w:eastAsia="Calibri"/>
          <w:sz w:val="27"/>
          <w:szCs w:val="27"/>
          <w:lang w:eastAsia="en-US"/>
        </w:rPr>
        <w:t xml:space="preserve">в 2019 году </w:t>
      </w:r>
      <w:r w:rsidRPr="002519CA">
        <w:rPr>
          <w:rFonts w:eastAsia="Calibri"/>
          <w:sz w:val="27"/>
          <w:szCs w:val="27"/>
          <w:lang w:eastAsia="en-US"/>
        </w:rPr>
        <w:t xml:space="preserve">ориентировочно составят </w:t>
      </w:r>
      <w:r w:rsidR="0054300D" w:rsidRPr="002519CA">
        <w:rPr>
          <w:rFonts w:eastAsia="Calibri"/>
          <w:sz w:val="27"/>
          <w:szCs w:val="27"/>
          <w:lang w:eastAsia="en-US"/>
        </w:rPr>
        <w:t xml:space="preserve">16,2 </w:t>
      </w:r>
      <w:r w:rsidR="00FC26BC" w:rsidRPr="002519CA">
        <w:rPr>
          <w:rFonts w:eastAsia="Calibri"/>
          <w:sz w:val="27"/>
          <w:szCs w:val="27"/>
          <w:lang w:eastAsia="en-US"/>
        </w:rPr>
        <w:t>млн. рублей.</w:t>
      </w:r>
    </w:p>
    <w:p w:rsidR="00FC26BC" w:rsidRPr="002519CA" w:rsidRDefault="00FC26BC" w:rsidP="00FC26BC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</w:p>
    <w:p w:rsidR="00FC26BC" w:rsidRPr="002519CA" w:rsidRDefault="00FC26BC" w:rsidP="00FC26BC">
      <w:pPr>
        <w:ind w:right="-1" w:firstLine="709"/>
        <w:jc w:val="both"/>
        <w:rPr>
          <w:rFonts w:eastAsia="Calibri"/>
          <w:sz w:val="27"/>
          <w:szCs w:val="27"/>
          <w:lang w:eastAsia="en-US"/>
        </w:rPr>
      </w:pPr>
      <w:r w:rsidRPr="002519CA">
        <w:rPr>
          <w:rFonts w:eastAsia="Calibri"/>
          <w:sz w:val="27"/>
          <w:szCs w:val="27"/>
          <w:lang w:eastAsia="en-US"/>
        </w:rPr>
        <w:t>Законопроектом предлагается расширить перечень объектов недвижимости, налогообложение которых осуществляется исходя из кадастровой стоимости, за счет налогообложения:</w:t>
      </w:r>
    </w:p>
    <w:p w:rsidR="00FC26BC" w:rsidRPr="002519CA" w:rsidRDefault="00FC26BC" w:rsidP="00201394">
      <w:pPr>
        <w:numPr>
          <w:ilvl w:val="0"/>
          <w:numId w:val="12"/>
        </w:numPr>
        <w:ind w:left="0"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административно-деловых центров и торговых центров (комплексов) площадью менее 1000 кв. м и всех помещений в них, установив налоговые ставки:</w:t>
      </w:r>
    </w:p>
    <w:p w:rsidR="00FC26BC" w:rsidRPr="002519CA" w:rsidRDefault="00FC26BC" w:rsidP="00FC26BC">
      <w:pPr>
        <w:ind w:left="709" w:right="-1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0,6 процента в 2019 году;</w:t>
      </w:r>
    </w:p>
    <w:p w:rsidR="00FC26BC" w:rsidRPr="002519CA" w:rsidRDefault="00FC26BC" w:rsidP="00FC26BC">
      <w:pPr>
        <w:ind w:left="709" w:right="-1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0,9 процента в 2020 году;</w:t>
      </w:r>
    </w:p>
    <w:p w:rsidR="00FC26BC" w:rsidRPr="002519CA" w:rsidRDefault="00FC26BC" w:rsidP="00FC26BC">
      <w:pPr>
        <w:ind w:left="709" w:right="-1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1,2 процента в 2021 году;</w:t>
      </w:r>
    </w:p>
    <w:p w:rsidR="00FC26BC" w:rsidRPr="002519CA" w:rsidRDefault="00FC26BC" w:rsidP="00FC26BC">
      <w:pPr>
        <w:ind w:left="709" w:right="-1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1,5 процента в 2022 году;</w:t>
      </w:r>
    </w:p>
    <w:p w:rsidR="00FC26BC" w:rsidRPr="002519CA" w:rsidRDefault="00FC26BC" w:rsidP="00FC26BC">
      <w:pPr>
        <w:ind w:left="709" w:right="-1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2,0 процента в 2023 году и последующих годах;</w:t>
      </w:r>
    </w:p>
    <w:p w:rsidR="003621C0" w:rsidRPr="002519CA" w:rsidRDefault="00FC26BC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 xml:space="preserve">2) </w:t>
      </w:r>
      <w:r w:rsidR="003621C0" w:rsidRPr="002519CA">
        <w:rPr>
          <w:sz w:val="27"/>
          <w:szCs w:val="27"/>
        </w:rPr>
        <w:t>административно-деловых центров и торговых центров (комплексов) общей площадью не превышающей 1000 кв.</w:t>
      </w:r>
      <w:r w:rsidR="00E10C48" w:rsidRPr="002519CA">
        <w:rPr>
          <w:sz w:val="27"/>
          <w:szCs w:val="27"/>
        </w:rPr>
        <w:t xml:space="preserve"> </w:t>
      </w:r>
      <w:r w:rsidR="003621C0" w:rsidRPr="002519CA">
        <w:rPr>
          <w:sz w:val="27"/>
          <w:szCs w:val="27"/>
        </w:rPr>
        <w:t>метров и помещений в них, в отношении нежилых помещений, назначение, разрешенное использование или наименование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расположенных в сельских населённых пунктах с численностью населения менее 3 тысяч человек</w:t>
      </w:r>
      <w:r w:rsidR="00201394" w:rsidRPr="002519CA">
        <w:rPr>
          <w:sz w:val="27"/>
          <w:szCs w:val="27"/>
        </w:rPr>
        <w:t>, установив налоговые ставки:</w:t>
      </w:r>
      <w:r w:rsidR="003621C0" w:rsidRPr="002519CA">
        <w:rPr>
          <w:sz w:val="27"/>
          <w:szCs w:val="27"/>
        </w:rPr>
        <w:t xml:space="preserve">  </w:t>
      </w:r>
    </w:p>
    <w:p w:rsidR="003621C0" w:rsidRPr="002519CA" w:rsidRDefault="003621C0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0,1 процента в 2019 году;</w:t>
      </w:r>
    </w:p>
    <w:p w:rsidR="003621C0" w:rsidRPr="002519CA" w:rsidRDefault="003621C0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0,4 процента в 2020 году;</w:t>
      </w:r>
    </w:p>
    <w:p w:rsidR="003621C0" w:rsidRPr="002519CA" w:rsidRDefault="003621C0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0,7 процента в 2021 году;</w:t>
      </w:r>
    </w:p>
    <w:p w:rsidR="003621C0" w:rsidRPr="002519CA" w:rsidRDefault="003621C0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1 процент в 2022 году и последующих годах;</w:t>
      </w:r>
    </w:p>
    <w:p w:rsidR="003621C0" w:rsidRPr="002519CA" w:rsidRDefault="003621C0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lastRenderedPageBreak/>
        <w:t>3) нежилых помещений, назначение, разрешенное использование или наименование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обслуживания, расположенных (находящихся) в многоквартирных домах, в том числе во встроенных и (или) пристроенных к многоквартирному дому помещениях</w:t>
      </w:r>
      <w:r w:rsidR="00201394" w:rsidRPr="002519CA">
        <w:rPr>
          <w:sz w:val="27"/>
          <w:szCs w:val="27"/>
        </w:rPr>
        <w:t>, установив налоговые ставки</w:t>
      </w:r>
      <w:r w:rsidRPr="002519CA">
        <w:rPr>
          <w:sz w:val="27"/>
          <w:szCs w:val="27"/>
        </w:rPr>
        <w:t>:</w:t>
      </w:r>
    </w:p>
    <w:p w:rsidR="003621C0" w:rsidRPr="002519CA" w:rsidRDefault="003621C0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0,6 процента в 2019 году;</w:t>
      </w:r>
    </w:p>
    <w:p w:rsidR="003621C0" w:rsidRPr="002519CA" w:rsidRDefault="003621C0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0,9 процента в 2020 году;</w:t>
      </w:r>
    </w:p>
    <w:p w:rsidR="00201394" w:rsidRPr="002519CA" w:rsidRDefault="003621C0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 xml:space="preserve">1,2 процент </w:t>
      </w:r>
      <w:r w:rsidR="00201394" w:rsidRPr="002519CA">
        <w:rPr>
          <w:sz w:val="27"/>
          <w:szCs w:val="27"/>
        </w:rPr>
        <w:t xml:space="preserve">в  </w:t>
      </w:r>
      <w:r w:rsidR="007C306F" w:rsidRPr="002519CA">
        <w:rPr>
          <w:sz w:val="27"/>
          <w:szCs w:val="27"/>
        </w:rPr>
        <w:t xml:space="preserve">2021 </w:t>
      </w:r>
      <w:r w:rsidR="00201394" w:rsidRPr="002519CA">
        <w:rPr>
          <w:sz w:val="27"/>
          <w:szCs w:val="27"/>
        </w:rPr>
        <w:t>году и последующих годах;</w:t>
      </w:r>
    </w:p>
    <w:p w:rsidR="00201394" w:rsidRPr="002519CA" w:rsidRDefault="00201394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>4) жилых домов и жилых помещений, не учитываемых на балансе в качестве объектов основных средств в порядке, установленном для ведения бухгалтерского учета, установив налоговую ставку в 2,0 процента. В отношении жилых домов и жилых помещений, предусмотренных в настоящем пункте, налоговая база как кадастровая стоимость имущества определяется по истечении одного года со дня принятия указанных объектов к бухгалтерскому учёту при вводе жилых домов в эксплуатацию.</w:t>
      </w:r>
    </w:p>
    <w:p w:rsidR="00FC26BC" w:rsidRPr="002519CA" w:rsidRDefault="00FC26BC" w:rsidP="003621C0">
      <w:pPr>
        <w:ind w:right="-1" w:firstLine="709"/>
        <w:jc w:val="both"/>
        <w:rPr>
          <w:sz w:val="27"/>
          <w:szCs w:val="27"/>
        </w:rPr>
      </w:pPr>
      <w:r w:rsidRPr="002519CA">
        <w:rPr>
          <w:sz w:val="27"/>
          <w:szCs w:val="27"/>
        </w:rPr>
        <w:t xml:space="preserve">В результате принятия закона перечень объектов недвижимого имущества, налогообложение которых осуществляется исходя из </w:t>
      </w:r>
      <w:r w:rsidR="00201394" w:rsidRPr="002519CA">
        <w:rPr>
          <w:sz w:val="27"/>
          <w:szCs w:val="27"/>
        </w:rPr>
        <w:t xml:space="preserve">кадастровой стоимости, ежегодно </w:t>
      </w:r>
      <w:r w:rsidRPr="002519CA">
        <w:rPr>
          <w:sz w:val="27"/>
          <w:szCs w:val="27"/>
        </w:rPr>
        <w:t xml:space="preserve">формируемый Правительством Удмуртской Республики, ориентировочно увеличится с 3 тыс. до </w:t>
      </w:r>
      <w:r w:rsidR="00201394" w:rsidRPr="002519CA">
        <w:rPr>
          <w:sz w:val="27"/>
          <w:szCs w:val="27"/>
        </w:rPr>
        <w:t>6,5</w:t>
      </w:r>
      <w:r w:rsidRPr="002519CA">
        <w:rPr>
          <w:sz w:val="27"/>
          <w:szCs w:val="27"/>
        </w:rPr>
        <w:t xml:space="preserve"> тыс. объектов недвижимости.</w:t>
      </w:r>
    </w:p>
    <w:p w:rsidR="00FC26BC" w:rsidRPr="002519CA" w:rsidRDefault="00FC26BC" w:rsidP="00FC26BC">
      <w:pPr>
        <w:ind w:right="-1" w:firstLine="654"/>
        <w:jc w:val="both"/>
        <w:rPr>
          <w:sz w:val="27"/>
          <w:szCs w:val="27"/>
        </w:rPr>
      </w:pPr>
      <w:r w:rsidRPr="002519CA">
        <w:rPr>
          <w:sz w:val="27"/>
          <w:szCs w:val="27"/>
        </w:rPr>
        <w:t xml:space="preserve">Ориентировочно </w:t>
      </w:r>
      <w:r w:rsidRPr="002519CA">
        <w:rPr>
          <w:rFonts w:eastAsia="Calibri"/>
          <w:sz w:val="27"/>
          <w:szCs w:val="27"/>
          <w:lang w:eastAsia="en-US"/>
        </w:rPr>
        <w:t>доходная часть бюджета Удмуртской Республики за счет роста поступлений налога на имущество организаций от объектов недвижимости, в отношении которых налоговая база определя</w:t>
      </w:r>
      <w:r w:rsidR="00201394" w:rsidRPr="002519CA">
        <w:rPr>
          <w:rFonts w:eastAsia="Calibri"/>
          <w:sz w:val="27"/>
          <w:szCs w:val="27"/>
          <w:lang w:eastAsia="en-US"/>
        </w:rPr>
        <w:t xml:space="preserve">ется как кадастровая стоимость </w:t>
      </w:r>
      <w:r w:rsidRPr="002519CA">
        <w:rPr>
          <w:sz w:val="27"/>
          <w:szCs w:val="27"/>
        </w:rPr>
        <w:t>составит</w:t>
      </w:r>
      <w:r w:rsidR="00201394" w:rsidRPr="002519CA">
        <w:rPr>
          <w:sz w:val="27"/>
          <w:szCs w:val="27"/>
        </w:rPr>
        <w:t xml:space="preserve"> в 2019 году - </w:t>
      </w:r>
      <w:r w:rsidRPr="002519CA">
        <w:rPr>
          <w:sz w:val="27"/>
          <w:szCs w:val="27"/>
        </w:rPr>
        <w:t xml:space="preserve"> 20</w:t>
      </w:r>
      <w:r w:rsidR="00201394" w:rsidRPr="002519CA">
        <w:rPr>
          <w:sz w:val="27"/>
          <w:szCs w:val="27"/>
        </w:rPr>
        <w:t>0 млн. рублей, в 2020 году – 251,4 млн. рублей, в 2021 году – 302,6 млн. рублей, в 2022 году и последующие годы – 310,8 млн. рублей</w:t>
      </w:r>
      <w:r w:rsidR="00507922" w:rsidRPr="002519CA">
        <w:rPr>
          <w:sz w:val="27"/>
          <w:szCs w:val="27"/>
        </w:rPr>
        <w:t xml:space="preserve"> (по отношению к 2018 году)</w:t>
      </w:r>
      <w:r w:rsidR="00201394" w:rsidRPr="002519CA">
        <w:rPr>
          <w:sz w:val="27"/>
          <w:szCs w:val="27"/>
        </w:rPr>
        <w:t>.</w:t>
      </w:r>
    </w:p>
    <w:p w:rsidR="00201394" w:rsidRPr="002519CA" w:rsidRDefault="00201394" w:rsidP="00FC26BC">
      <w:pPr>
        <w:ind w:right="-1" w:firstLine="654"/>
        <w:jc w:val="both"/>
        <w:rPr>
          <w:sz w:val="27"/>
          <w:szCs w:val="27"/>
        </w:rPr>
      </w:pPr>
    </w:p>
    <w:p w:rsidR="00816B32" w:rsidRPr="002519CA" w:rsidRDefault="00816B32" w:rsidP="00FC26BC">
      <w:pPr>
        <w:ind w:right="-1" w:firstLine="654"/>
        <w:jc w:val="both"/>
        <w:rPr>
          <w:sz w:val="27"/>
          <w:szCs w:val="27"/>
        </w:rPr>
      </w:pPr>
    </w:p>
    <w:p w:rsidR="00FC26BC" w:rsidRPr="002519CA" w:rsidRDefault="00FC26BC" w:rsidP="00FC26BC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p w:rsidR="00E10C48" w:rsidRPr="002519CA" w:rsidRDefault="00E10C48" w:rsidP="00E10C48">
      <w:pPr>
        <w:jc w:val="both"/>
        <w:rPr>
          <w:rFonts w:eastAsia="Calibri"/>
          <w:sz w:val="27"/>
          <w:szCs w:val="27"/>
          <w:lang w:eastAsia="en-US"/>
        </w:rPr>
      </w:pPr>
      <w:r w:rsidRPr="002519CA">
        <w:rPr>
          <w:rFonts w:eastAsia="Calibri"/>
          <w:sz w:val="27"/>
          <w:szCs w:val="27"/>
          <w:lang w:eastAsia="en-US"/>
        </w:rPr>
        <w:t xml:space="preserve">Председатель постоянной комиссии </w:t>
      </w:r>
    </w:p>
    <w:p w:rsidR="00E10C48" w:rsidRPr="002519CA" w:rsidRDefault="00E10C48" w:rsidP="00E10C48">
      <w:pPr>
        <w:jc w:val="both"/>
        <w:rPr>
          <w:rFonts w:eastAsia="Calibri"/>
          <w:sz w:val="27"/>
          <w:szCs w:val="27"/>
          <w:lang w:eastAsia="en-US"/>
        </w:rPr>
      </w:pPr>
      <w:r w:rsidRPr="002519CA">
        <w:rPr>
          <w:rFonts w:eastAsia="Calibri"/>
          <w:sz w:val="27"/>
          <w:szCs w:val="27"/>
          <w:lang w:eastAsia="en-US"/>
        </w:rPr>
        <w:t xml:space="preserve">Государственного Совета </w:t>
      </w:r>
    </w:p>
    <w:p w:rsidR="00E10C48" w:rsidRPr="002519CA" w:rsidRDefault="00E10C48" w:rsidP="00E10C48">
      <w:pPr>
        <w:jc w:val="both"/>
        <w:rPr>
          <w:rFonts w:eastAsia="Calibri"/>
          <w:sz w:val="27"/>
          <w:szCs w:val="27"/>
          <w:lang w:eastAsia="en-US"/>
        </w:rPr>
      </w:pPr>
      <w:r w:rsidRPr="002519CA">
        <w:rPr>
          <w:rFonts w:eastAsia="Calibri"/>
          <w:sz w:val="27"/>
          <w:szCs w:val="27"/>
          <w:lang w:eastAsia="en-US"/>
        </w:rPr>
        <w:t xml:space="preserve">Удмуртской Республики </w:t>
      </w:r>
    </w:p>
    <w:p w:rsidR="00E10C48" w:rsidRPr="002519CA" w:rsidRDefault="00E10C48" w:rsidP="00E10C48">
      <w:pPr>
        <w:jc w:val="both"/>
        <w:rPr>
          <w:rFonts w:eastAsia="Calibri"/>
          <w:sz w:val="27"/>
          <w:szCs w:val="27"/>
          <w:lang w:eastAsia="en-US"/>
        </w:rPr>
      </w:pPr>
      <w:r w:rsidRPr="002519CA">
        <w:rPr>
          <w:rFonts w:eastAsia="Calibri"/>
          <w:sz w:val="27"/>
          <w:szCs w:val="27"/>
          <w:lang w:eastAsia="en-US"/>
        </w:rPr>
        <w:t xml:space="preserve">по бюджету, налогам и финансам </w:t>
      </w:r>
      <w:r w:rsidRPr="002519CA">
        <w:rPr>
          <w:rFonts w:eastAsia="Calibri"/>
          <w:sz w:val="27"/>
          <w:szCs w:val="27"/>
          <w:lang w:eastAsia="en-US"/>
        </w:rPr>
        <w:tab/>
      </w:r>
      <w:r w:rsidRPr="002519CA">
        <w:rPr>
          <w:rFonts w:eastAsia="Calibri"/>
          <w:sz w:val="27"/>
          <w:szCs w:val="27"/>
          <w:lang w:eastAsia="en-US"/>
        </w:rPr>
        <w:tab/>
      </w:r>
      <w:r w:rsidRPr="002519CA">
        <w:rPr>
          <w:rFonts w:eastAsia="Calibri"/>
          <w:sz w:val="27"/>
          <w:szCs w:val="27"/>
          <w:lang w:eastAsia="en-US"/>
        </w:rPr>
        <w:tab/>
      </w:r>
      <w:r w:rsidRPr="002519CA">
        <w:rPr>
          <w:rFonts w:eastAsia="Calibri"/>
          <w:sz w:val="27"/>
          <w:szCs w:val="27"/>
          <w:lang w:eastAsia="en-US"/>
        </w:rPr>
        <w:tab/>
        <w:t xml:space="preserve">                         Ю.А. Тюрин</w:t>
      </w:r>
    </w:p>
    <w:p w:rsidR="00FC26BC" w:rsidRPr="002519CA" w:rsidRDefault="00FC26BC" w:rsidP="00E10C48">
      <w:pPr>
        <w:jc w:val="both"/>
        <w:rPr>
          <w:rFonts w:eastAsia="Calibri"/>
          <w:sz w:val="27"/>
          <w:szCs w:val="27"/>
          <w:lang w:eastAsia="en-US"/>
        </w:rPr>
      </w:pPr>
    </w:p>
    <w:p w:rsidR="00FC26BC" w:rsidRPr="002519CA" w:rsidRDefault="00FC26BC" w:rsidP="00EB6528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190285" w:rsidRPr="002519CA" w:rsidRDefault="00190285" w:rsidP="006305A6">
      <w:pPr>
        <w:ind w:right="-284"/>
        <w:jc w:val="both"/>
        <w:rPr>
          <w:rFonts w:eastAsia="Calibri"/>
          <w:spacing w:val="2"/>
          <w:sz w:val="27"/>
          <w:szCs w:val="27"/>
          <w:lang w:eastAsia="en-US"/>
        </w:rPr>
      </w:pPr>
    </w:p>
    <w:sectPr w:rsidR="00190285" w:rsidRPr="002519CA" w:rsidSect="00110F4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37" w:rsidRDefault="00185437">
      <w:r>
        <w:separator/>
      </w:r>
    </w:p>
  </w:endnote>
  <w:endnote w:type="continuationSeparator" w:id="0">
    <w:p w:rsidR="00185437" w:rsidRDefault="00185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37" w:rsidRDefault="00185437">
      <w:r>
        <w:separator/>
      </w:r>
    </w:p>
  </w:footnote>
  <w:footnote w:type="continuationSeparator" w:id="0">
    <w:p w:rsidR="00185437" w:rsidRDefault="00185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42" w:rsidRDefault="00100D89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B42" w:rsidRDefault="00100D89" w:rsidP="00CF61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40B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102">
      <w:rPr>
        <w:rStyle w:val="a6"/>
        <w:noProof/>
      </w:rPr>
      <w:t>2</w:t>
    </w:r>
    <w:r>
      <w:rPr>
        <w:rStyle w:val="a6"/>
      </w:rPr>
      <w:fldChar w:fldCharType="end"/>
    </w:r>
  </w:p>
  <w:p w:rsidR="00840B42" w:rsidRDefault="00840B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45854D0"/>
    <w:lvl w:ilvl="0">
      <w:numFmt w:val="bullet"/>
      <w:lvlText w:val="*"/>
      <w:lvlJc w:val="left"/>
    </w:lvl>
  </w:abstractNum>
  <w:abstractNum w:abstractNumId="1">
    <w:nsid w:val="08BA6851"/>
    <w:multiLevelType w:val="multilevel"/>
    <w:tmpl w:val="6C6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87193"/>
    <w:multiLevelType w:val="hybridMultilevel"/>
    <w:tmpl w:val="7924F0F0"/>
    <w:lvl w:ilvl="0" w:tplc="2A6CE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2A2890"/>
    <w:multiLevelType w:val="hybridMultilevel"/>
    <w:tmpl w:val="69A8E71A"/>
    <w:lvl w:ilvl="0" w:tplc="9248528E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9FB5CB6"/>
    <w:multiLevelType w:val="hybridMultilevel"/>
    <w:tmpl w:val="96966960"/>
    <w:lvl w:ilvl="0" w:tplc="0DE08610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>
    <w:nsid w:val="4D6F6423"/>
    <w:multiLevelType w:val="hybridMultilevel"/>
    <w:tmpl w:val="A9C6B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065C7D"/>
    <w:multiLevelType w:val="hybridMultilevel"/>
    <w:tmpl w:val="A66AA488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D096C64"/>
    <w:multiLevelType w:val="hybridMultilevel"/>
    <w:tmpl w:val="4B9AB2D8"/>
    <w:lvl w:ilvl="0" w:tplc="B5EEFF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4D6320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681B2671"/>
    <w:multiLevelType w:val="hybridMultilevel"/>
    <w:tmpl w:val="FA38F300"/>
    <w:lvl w:ilvl="0" w:tplc="48EE2B00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7966121E"/>
    <w:multiLevelType w:val="hybridMultilevel"/>
    <w:tmpl w:val="64FCA85C"/>
    <w:lvl w:ilvl="0" w:tplc="0E7E41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14C"/>
    <w:rsid w:val="000235A0"/>
    <w:rsid w:val="00023EC1"/>
    <w:rsid w:val="00025737"/>
    <w:rsid w:val="00030991"/>
    <w:rsid w:val="0004201E"/>
    <w:rsid w:val="000421E1"/>
    <w:rsid w:val="00044EEA"/>
    <w:rsid w:val="00050051"/>
    <w:rsid w:val="000630DD"/>
    <w:rsid w:val="0006477B"/>
    <w:rsid w:val="00070A9F"/>
    <w:rsid w:val="00071D5A"/>
    <w:rsid w:val="00072611"/>
    <w:rsid w:val="00074752"/>
    <w:rsid w:val="00077BB5"/>
    <w:rsid w:val="000803BD"/>
    <w:rsid w:val="000819CA"/>
    <w:rsid w:val="00090354"/>
    <w:rsid w:val="0009232C"/>
    <w:rsid w:val="000943CA"/>
    <w:rsid w:val="00094A02"/>
    <w:rsid w:val="00095A12"/>
    <w:rsid w:val="000A5547"/>
    <w:rsid w:val="000A5AE2"/>
    <w:rsid w:val="000B7975"/>
    <w:rsid w:val="000C0F3B"/>
    <w:rsid w:val="000C2F0D"/>
    <w:rsid w:val="000C3124"/>
    <w:rsid w:val="000C4006"/>
    <w:rsid w:val="000D63BE"/>
    <w:rsid w:val="000E2A6D"/>
    <w:rsid w:val="000F4A80"/>
    <w:rsid w:val="00100D89"/>
    <w:rsid w:val="00101260"/>
    <w:rsid w:val="00105AFA"/>
    <w:rsid w:val="00106443"/>
    <w:rsid w:val="00110F47"/>
    <w:rsid w:val="00111091"/>
    <w:rsid w:val="00124FD1"/>
    <w:rsid w:val="00134942"/>
    <w:rsid w:val="001476DB"/>
    <w:rsid w:val="0015022F"/>
    <w:rsid w:val="00152943"/>
    <w:rsid w:val="00155C73"/>
    <w:rsid w:val="00185437"/>
    <w:rsid w:val="00187102"/>
    <w:rsid w:val="00190285"/>
    <w:rsid w:val="0019036C"/>
    <w:rsid w:val="0019308E"/>
    <w:rsid w:val="001930CD"/>
    <w:rsid w:val="0019468F"/>
    <w:rsid w:val="001C020B"/>
    <w:rsid w:val="001C37BB"/>
    <w:rsid w:val="001C5CC7"/>
    <w:rsid w:val="001C6533"/>
    <w:rsid w:val="001D3EB2"/>
    <w:rsid w:val="001D5440"/>
    <w:rsid w:val="001D62C8"/>
    <w:rsid w:val="001D7EC4"/>
    <w:rsid w:val="001E1C13"/>
    <w:rsid w:val="001F30AC"/>
    <w:rsid w:val="001F792B"/>
    <w:rsid w:val="00201394"/>
    <w:rsid w:val="00203657"/>
    <w:rsid w:val="0021488F"/>
    <w:rsid w:val="00223A0A"/>
    <w:rsid w:val="00223E71"/>
    <w:rsid w:val="00224E7E"/>
    <w:rsid w:val="00233B6B"/>
    <w:rsid w:val="002519CA"/>
    <w:rsid w:val="00263633"/>
    <w:rsid w:val="00276972"/>
    <w:rsid w:val="0028278C"/>
    <w:rsid w:val="002836F3"/>
    <w:rsid w:val="002A5181"/>
    <w:rsid w:val="002B1B02"/>
    <w:rsid w:val="002B7121"/>
    <w:rsid w:val="002C0628"/>
    <w:rsid w:val="002C558C"/>
    <w:rsid w:val="002D72D5"/>
    <w:rsid w:val="002F7A1A"/>
    <w:rsid w:val="00303259"/>
    <w:rsid w:val="003046E0"/>
    <w:rsid w:val="00313EC0"/>
    <w:rsid w:val="00323780"/>
    <w:rsid w:val="00343FF6"/>
    <w:rsid w:val="00345AFD"/>
    <w:rsid w:val="00347F2E"/>
    <w:rsid w:val="00352DC3"/>
    <w:rsid w:val="00356341"/>
    <w:rsid w:val="00360B26"/>
    <w:rsid w:val="003621C0"/>
    <w:rsid w:val="00376652"/>
    <w:rsid w:val="0038106D"/>
    <w:rsid w:val="003840A5"/>
    <w:rsid w:val="0038747A"/>
    <w:rsid w:val="00387A89"/>
    <w:rsid w:val="003955E8"/>
    <w:rsid w:val="003A356D"/>
    <w:rsid w:val="003A59D0"/>
    <w:rsid w:val="003B0A1C"/>
    <w:rsid w:val="003B2991"/>
    <w:rsid w:val="003C436E"/>
    <w:rsid w:val="003C57C5"/>
    <w:rsid w:val="003D0639"/>
    <w:rsid w:val="003D0E9B"/>
    <w:rsid w:val="003D76B7"/>
    <w:rsid w:val="003D7746"/>
    <w:rsid w:val="003E33CF"/>
    <w:rsid w:val="003E6D8A"/>
    <w:rsid w:val="003F19EE"/>
    <w:rsid w:val="003F434A"/>
    <w:rsid w:val="004018E3"/>
    <w:rsid w:val="0040337F"/>
    <w:rsid w:val="00405355"/>
    <w:rsid w:val="00406515"/>
    <w:rsid w:val="004077AE"/>
    <w:rsid w:val="00420EF8"/>
    <w:rsid w:val="004210FB"/>
    <w:rsid w:val="00431634"/>
    <w:rsid w:val="00434A97"/>
    <w:rsid w:val="0044104F"/>
    <w:rsid w:val="00446B84"/>
    <w:rsid w:val="0045357A"/>
    <w:rsid w:val="004558AC"/>
    <w:rsid w:val="00456F1A"/>
    <w:rsid w:val="00461E61"/>
    <w:rsid w:val="00474FC9"/>
    <w:rsid w:val="00475FF4"/>
    <w:rsid w:val="004821E0"/>
    <w:rsid w:val="004835D2"/>
    <w:rsid w:val="0049179A"/>
    <w:rsid w:val="0049275C"/>
    <w:rsid w:val="00496A50"/>
    <w:rsid w:val="004A10A2"/>
    <w:rsid w:val="004A33F3"/>
    <w:rsid w:val="004B52B2"/>
    <w:rsid w:val="004B63CD"/>
    <w:rsid w:val="004C4135"/>
    <w:rsid w:val="004E04E5"/>
    <w:rsid w:val="004E60FC"/>
    <w:rsid w:val="004F482E"/>
    <w:rsid w:val="00500B59"/>
    <w:rsid w:val="00500DA4"/>
    <w:rsid w:val="005021C1"/>
    <w:rsid w:val="00502A7C"/>
    <w:rsid w:val="005034C9"/>
    <w:rsid w:val="005044D4"/>
    <w:rsid w:val="00507922"/>
    <w:rsid w:val="0051578F"/>
    <w:rsid w:val="0052041F"/>
    <w:rsid w:val="00534AA3"/>
    <w:rsid w:val="00536239"/>
    <w:rsid w:val="00540479"/>
    <w:rsid w:val="0054300D"/>
    <w:rsid w:val="005459BB"/>
    <w:rsid w:val="00547BA9"/>
    <w:rsid w:val="00553CCD"/>
    <w:rsid w:val="00575759"/>
    <w:rsid w:val="00577BFE"/>
    <w:rsid w:val="00581D01"/>
    <w:rsid w:val="00583112"/>
    <w:rsid w:val="005838D1"/>
    <w:rsid w:val="00590F54"/>
    <w:rsid w:val="005A40CA"/>
    <w:rsid w:val="005A6247"/>
    <w:rsid w:val="005B1F47"/>
    <w:rsid w:val="005C5F51"/>
    <w:rsid w:val="005D1CBE"/>
    <w:rsid w:val="005D50E1"/>
    <w:rsid w:val="005E28B6"/>
    <w:rsid w:val="005E63AA"/>
    <w:rsid w:val="005F0972"/>
    <w:rsid w:val="005F115B"/>
    <w:rsid w:val="005F4976"/>
    <w:rsid w:val="00602FBC"/>
    <w:rsid w:val="00605A72"/>
    <w:rsid w:val="006101AE"/>
    <w:rsid w:val="00615A92"/>
    <w:rsid w:val="00622E52"/>
    <w:rsid w:val="00626AA5"/>
    <w:rsid w:val="00626FD5"/>
    <w:rsid w:val="006305A6"/>
    <w:rsid w:val="00634343"/>
    <w:rsid w:val="006439FE"/>
    <w:rsid w:val="00643FAA"/>
    <w:rsid w:val="0065788A"/>
    <w:rsid w:val="00663C00"/>
    <w:rsid w:val="006652F4"/>
    <w:rsid w:val="0066630A"/>
    <w:rsid w:val="00682BF5"/>
    <w:rsid w:val="00683966"/>
    <w:rsid w:val="00686450"/>
    <w:rsid w:val="006909AB"/>
    <w:rsid w:val="006978A0"/>
    <w:rsid w:val="006A1B7B"/>
    <w:rsid w:val="006A3D5E"/>
    <w:rsid w:val="006A43A1"/>
    <w:rsid w:val="006B1302"/>
    <w:rsid w:val="006C7F4A"/>
    <w:rsid w:val="006D28BD"/>
    <w:rsid w:val="006D5761"/>
    <w:rsid w:val="006D5D16"/>
    <w:rsid w:val="006D685F"/>
    <w:rsid w:val="006E14F9"/>
    <w:rsid w:val="006E24A0"/>
    <w:rsid w:val="006E3F80"/>
    <w:rsid w:val="006E523B"/>
    <w:rsid w:val="006F6C3C"/>
    <w:rsid w:val="00701D75"/>
    <w:rsid w:val="007073EF"/>
    <w:rsid w:val="00730E35"/>
    <w:rsid w:val="00734970"/>
    <w:rsid w:val="00736B48"/>
    <w:rsid w:val="00737AA6"/>
    <w:rsid w:val="007439E3"/>
    <w:rsid w:val="007544D8"/>
    <w:rsid w:val="0078533C"/>
    <w:rsid w:val="00786387"/>
    <w:rsid w:val="007909E0"/>
    <w:rsid w:val="00791FB4"/>
    <w:rsid w:val="00792C28"/>
    <w:rsid w:val="00794010"/>
    <w:rsid w:val="007967EA"/>
    <w:rsid w:val="007A05CE"/>
    <w:rsid w:val="007A23B2"/>
    <w:rsid w:val="007A56DA"/>
    <w:rsid w:val="007B42C1"/>
    <w:rsid w:val="007C306F"/>
    <w:rsid w:val="007D30F6"/>
    <w:rsid w:val="007E270E"/>
    <w:rsid w:val="007F02F8"/>
    <w:rsid w:val="00804A42"/>
    <w:rsid w:val="0081447B"/>
    <w:rsid w:val="0081697A"/>
    <w:rsid w:val="00816A5A"/>
    <w:rsid w:val="00816B32"/>
    <w:rsid w:val="00840014"/>
    <w:rsid w:val="008408C7"/>
    <w:rsid w:val="00840B42"/>
    <w:rsid w:val="00854D50"/>
    <w:rsid w:val="00865DCC"/>
    <w:rsid w:val="0087070A"/>
    <w:rsid w:val="00870E33"/>
    <w:rsid w:val="0087148B"/>
    <w:rsid w:val="008741CC"/>
    <w:rsid w:val="00877C07"/>
    <w:rsid w:val="00886E12"/>
    <w:rsid w:val="00887A94"/>
    <w:rsid w:val="00894AD6"/>
    <w:rsid w:val="008B4BD6"/>
    <w:rsid w:val="008B5DC7"/>
    <w:rsid w:val="008B7970"/>
    <w:rsid w:val="008C5720"/>
    <w:rsid w:val="008D02E1"/>
    <w:rsid w:val="008E2A35"/>
    <w:rsid w:val="008E4359"/>
    <w:rsid w:val="008E4CED"/>
    <w:rsid w:val="008F3C72"/>
    <w:rsid w:val="009028F6"/>
    <w:rsid w:val="009050A0"/>
    <w:rsid w:val="00907080"/>
    <w:rsid w:val="00910433"/>
    <w:rsid w:val="00923DAE"/>
    <w:rsid w:val="009248C7"/>
    <w:rsid w:val="009262F0"/>
    <w:rsid w:val="00956795"/>
    <w:rsid w:val="0096181E"/>
    <w:rsid w:val="0096392D"/>
    <w:rsid w:val="00976634"/>
    <w:rsid w:val="00976E1F"/>
    <w:rsid w:val="009777CF"/>
    <w:rsid w:val="0098134A"/>
    <w:rsid w:val="009854A7"/>
    <w:rsid w:val="0099073C"/>
    <w:rsid w:val="009953BE"/>
    <w:rsid w:val="009A0E09"/>
    <w:rsid w:val="009A6106"/>
    <w:rsid w:val="009A6220"/>
    <w:rsid w:val="009A7605"/>
    <w:rsid w:val="009B5F50"/>
    <w:rsid w:val="009C479C"/>
    <w:rsid w:val="009C4BAC"/>
    <w:rsid w:val="009D0AFD"/>
    <w:rsid w:val="009D18A0"/>
    <w:rsid w:val="009E5178"/>
    <w:rsid w:val="009E6066"/>
    <w:rsid w:val="009F2393"/>
    <w:rsid w:val="009F55FE"/>
    <w:rsid w:val="00A02319"/>
    <w:rsid w:val="00A06497"/>
    <w:rsid w:val="00A1399B"/>
    <w:rsid w:val="00A22A60"/>
    <w:rsid w:val="00A254DA"/>
    <w:rsid w:val="00A334CE"/>
    <w:rsid w:val="00A37A5B"/>
    <w:rsid w:val="00A42C31"/>
    <w:rsid w:val="00A50CE3"/>
    <w:rsid w:val="00A5269F"/>
    <w:rsid w:val="00A61662"/>
    <w:rsid w:val="00A85EDF"/>
    <w:rsid w:val="00A95570"/>
    <w:rsid w:val="00AA2EE1"/>
    <w:rsid w:val="00AB53C9"/>
    <w:rsid w:val="00AB7CAD"/>
    <w:rsid w:val="00AC6726"/>
    <w:rsid w:val="00AD5FF2"/>
    <w:rsid w:val="00AD6F6F"/>
    <w:rsid w:val="00AE2AC0"/>
    <w:rsid w:val="00AE3167"/>
    <w:rsid w:val="00AE570A"/>
    <w:rsid w:val="00AF2EC1"/>
    <w:rsid w:val="00B003DA"/>
    <w:rsid w:val="00B02AD1"/>
    <w:rsid w:val="00B04229"/>
    <w:rsid w:val="00B22C57"/>
    <w:rsid w:val="00B237B6"/>
    <w:rsid w:val="00B27B93"/>
    <w:rsid w:val="00B3448A"/>
    <w:rsid w:val="00B347C5"/>
    <w:rsid w:val="00B35F0B"/>
    <w:rsid w:val="00B4010F"/>
    <w:rsid w:val="00B55E0C"/>
    <w:rsid w:val="00B61C3E"/>
    <w:rsid w:val="00B64310"/>
    <w:rsid w:val="00B70472"/>
    <w:rsid w:val="00B7140F"/>
    <w:rsid w:val="00B7209E"/>
    <w:rsid w:val="00B7499E"/>
    <w:rsid w:val="00B7709C"/>
    <w:rsid w:val="00B87A2C"/>
    <w:rsid w:val="00B91AE0"/>
    <w:rsid w:val="00B95270"/>
    <w:rsid w:val="00B95CA8"/>
    <w:rsid w:val="00B978D3"/>
    <w:rsid w:val="00BA45D0"/>
    <w:rsid w:val="00BA7AA9"/>
    <w:rsid w:val="00BB40BE"/>
    <w:rsid w:val="00BB4DED"/>
    <w:rsid w:val="00BD01AC"/>
    <w:rsid w:val="00BD6407"/>
    <w:rsid w:val="00BE01B8"/>
    <w:rsid w:val="00BE178B"/>
    <w:rsid w:val="00BF7FD1"/>
    <w:rsid w:val="00C002F3"/>
    <w:rsid w:val="00C2474F"/>
    <w:rsid w:val="00C279DF"/>
    <w:rsid w:val="00C343E5"/>
    <w:rsid w:val="00C34F07"/>
    <w:rsid w:val="00C37581"/>
    <w:rsid w:val="00C41E27"/>
    <w:rsid w:val="00C532D8"/>
    <w:rsid w:val="00C63589"/>
    <w:rsid w:val="00C63760"/>
    <w:rsid w:val="00C72CD9"/>
    <w:rsid w:val="00C743D0"/>
    <w:rsid w:val="00C7505D"/>
    <w:rsid w:val="00C8057C"/>
    <w:rsid w:val="00C83500"/>
    <w:rsid w:val="00C91687"/>
    <w:rsid w:val="00C9498A"/>
    <w:rsid w:val="00CA203E"/>
    <w:rsid w:val="00CA2B0C"/>
    <w:rsid w:val="00CB6EA0"/>
    <w:rsid w:val="00CC1D06"/>
    <w:rsid w:val="00CF384E"/>
    <w:rsid w:val="00CF3CC4"/>
    <w:rsid w:val="00CF614C"/>
    <w:rsid w:val="00D01914"/>
    <w:rsid w:val="00D056B4"/>
    <w:rsid w:val="00D12473"/>
    <w:rsid w:val="00D15664"/>
    <w:rsid w:val="00D228E4"/>
    <w:rsid w:val="00D25DE6"/>
    <w:rsid w:val="00D36BC8"/>
    <w:rsid w:val="00D4327A"/>
    <w:rsid w:val="00D46DF6"/>
    <w:rsid w:val="00D46EAC"/>
    <w:rsid w:val="00D81641"/>
    <w:rsid w:val="00D82036"/>
    <w:rsid w:val="00D85873"/>
    <w:rsid w:val="00DA68C4"/>
    <w:rsid w:val="00DB58C0"/>
    <w:rsid w:val="00DD1614"/>
    <w:rsid w:val="00DD3133"/>
    <w:rsid w:val="00DD5172"/>
    <w:rsid w:val="00DD71A3"/>
    <w:rsid w:val="00DE2E01"/>
    <w:rsid w:val="00DE2E64"/>
    <w:rsid w:val="00DE3996"/>
    <w:rsid w:val="00DF6A5A"/>
    <w:rsid w:val="00E10C48"/>
    <w:rsid w:val="00E122FC"/>
    <w:rsid w:val="00E32CD0"/>
    <w:rsid w:val="00E33638"/>
    <w:rsid w:val="00E4322F"/>
    <w:rsid w:val="00E53D11"/>
    <w:rsid w:val="00E62C7A"/>
    <w:rsid w:val="00E80050"/>
    <w:rsid w:val="00E87D31"/>
    <w:rsid w:val="00E916F2"/>
    <w:rsid w:val="00E940A6"/>
    <w:rsid w:val="00EB6528"/>
    <w:rsid w:val="00EB6987"/>
    <w:rsid w:val="00EC5EE4"/>
    <w:rsid w:val="00EC6AD9"/>
    <w:rsid w:val="00ED159E"/>
    <w:rsid w:val="00ED3289"/>
    <w:rsid w:val="00EE1072"/>
    <w:rsid w:val="00EE5CD1"/>
    <w:rsid w:val="00EF228B"/>
    <w:rsid w:val="00EF2586"/>
    <w:rsid w:val="00EF3F02"/>
    <w:rsid w:val="00EF4615"/>
    <w:rsid w:val="00F02CA8"/>
    <w:rsid w:val="00F12024"/>
    <w:rsid w:val="00F14CB6"/>
    <w:rsid w:val="00F27813"/>
    <w:rsid w:val="00F27C0B"/>
    <w:rsid w:val="00F3420A"/>
    <w:rsid w:val="00F3544C"/>
    <w:rsid w:val="00F37EBC"/>
    <w:rsid w:val="00F61A12"/>
    <w:rsid w:val="00F66DE7"/>
    <w:rsid w:val="00F74FF1"/>
    <w:rsid w:val="00F92AFF"/>
    <w:rsid w:val="00F9448A"/>
    <w:rsid w:val="00F95340"/>
    <w:rsid w:val="00F95508"/>
    <w:rsid w:val="00FA0585"/>
    <w:rsid w:val="00FB3598"/>
    <w:rsid w:val="00FB7A86"/>
    <w:rsid w:val="00FC26BC"/>
    <w:rsid w:val="00FC4FD8"/>
    <w:rsid w:val="00FD1D3A"/>
    <w:rsid w:val="00FD2039"/>
    <w:rsid w:val="00FD25AE"/>
    <w:rsid w:val="00FE0FC3"/>
    <w:rsid w:val="00FF2008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51318-C074-48F5-82B5-9A3E88FD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32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1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F6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F6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F614C"/>
  </w:style>
  <w:style w:type="paragraph" w:styleId="a7">
    <w:name w:val="Balloon Text"/>
    <w:basedOn w:val="a"/>
    <w:link w:val="a8"/>
    <w:uiPriority w:val="99"/>
    <w:semiHidden/>
    <w:unhideWhenUsed/>
    <w:rsid w:val="009A622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22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C062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uiPriority w:val="99"/>
    <w:rsid w:val="002C558C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2C558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a"/>
    <w:uiPriority w:val="99"/>
    <w:rsid w:val="002C558C"/>
    <w:pPr>
      <w:widowControl w:val="0"/>
      <w:autoSpaceDE w:val="0"/>
      <w:autoSpaceDN w:val="0"/>
      <w:adjustRightInd w:val="0"/>
      <w:spacing w:line="305" w:lineRule="exact"/>
      <w:ind w:hanging="240"/>
    </w:pPr>
  </w:style>
  <w:style w:type="paragraph" w:customStyle="1" w:styleId="Style8">
    <w:name w:val="Style8"/>
    <w:basedOn w:val="a"/>
    <w:uiPriority w:val="99"/>
    <w:rsid w:val="002C558C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paragraph" w:customStyle="1" w:styleId="Style16">
    <w:name w:val="Style16"/>
    <w:basedOn w:val="a"/>
    <w:uiPriority w:val="99"/>
    <w:rsid w:val="002C558C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2">
    <w:name w:val="Font Style42"/>
    <w:uiPriority w:val="99"/>
    <w:rsid w:val="002C558C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9953BE"/>
    <w:pPr>
      <w:ind w:left="708"/>
    </w:pPr>
  </w:style>
  <w:style w:type="character" w:styleId="aa">
    <w:name w:val="Hyperlink"/>
    <w:uiPriority w:val="99"/>
    <w:unhideWhenUsed/>
    <w:rsid w:val="00547BA9"/>
    <w:rPr>
      <w:color w:val="0000FF"/>
      <w:u w:val="single"/>
    </w:rPr>
  </w:style>
  <w:style w:type="paragraph" w:styleId="ab">
    <w:name w:val="No Spacing"/>
    <w:uiPriority w:val="1"/>
    <w:qFormat/>
    <w:rsid w:val="00553CCD"/>
    <w:pPr>
      <w:widowControl w:val="0"/>
    </w:pPr>
    <w:rPr>
      <w:rFonts w:ascii="Times New Roman" w:eastAsia="Times New Roman" w:hAnsi="Times New Roman"/>
    </w:rPr>
  </w:style>
  <w:style w:type="paragraph" w:styleId="ac">
    <w:name w:val="Normal (Web)"/>
    <w:basedOn w:val="a"/>
    <w:uiPriority w:val="99"/>
    <w:semiHidden/>
    <w:unhideWhenUsed/>
    <w:rsid w:val="00553CCD"/>
    <w:pPr>
      <w:spacing w:before="100" w:beforeAutospacing="1" w:after="100" w:afterAutospacing="1"/>
    </w:pPr>
  </w:style>
  <w:style w:type="character" w:styleId="ad">
    <w:name w:val="annotation reference"/>
    <w:uiPriority w:val="99"/>
    <w:semiHidden/>
    <w:unhideWhenUsed/>
    <w:rsid w:val="005F11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F115B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F115B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F115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F115B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link w:val="1"/>
    <w:uiPriority w:val="9"/>
    <w:rsid w:val="00E4322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FontStyle11">
    <w:name w:val="Font Style11"/>
    <w:uiPriority w:val="99"/>
    <w:rsid w:val="00E4322F"/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A06497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415C-FED1-45A9-9B25-58642AE1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UR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pohodina</dc:creator>
  <cp:lastModifiedBy>Синельник Татьяна Викторовна</cp:lastModifiedBy>
  <cp:revision>2</cp:revision>
  <cp:lastPrinted>2018-11-22T06:39:00Z</cp:lastPrinted>
  <dcterms:created xsi:type="dcterms:W3CDTF">2018-11-22T07:43:00Z</dcterms:created>
  <dcterms:modified xsi:type="dcterms:W3CDTF">2018-11-22T07:43:00Z</dcterms:modified>
</cp:coreProperties>
</file>