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26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0858BE" w:rsidRPr="000858BE" w:rsidTr="0012676E">
        <w:trPr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12676E">
        <w:trPr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Бюджетъя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вытъёсъя</w:t>
            </w:r>
            <w:proofErr w:type="spellEnd"/>
            <w:proofErr w:type="gram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коньдон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0858BE" w:rsidRPr="000858BE" w:rsidTr="0012676E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____ ___________ ____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:rsidTr="0012676E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12676E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760F" w:rsidRDefault="00E3760F" w:rsidP="002A1B64">
      <w:pPr>
        <w:spacing w:after="0" w:line="240" w:lineRule="auto"/>
        <w:jc w:val="center"/>
      </w:pPr>
      <w:bookmarkStart w:id="0" w:name="_GoBack"/>
    </w:p>
    <w:bookmarkEnd w:id="0"/>
    <w:p w:rsidR="00E1313F" w:rsidRDefault="00E1313F" w:rsidP="002A1B64">
      <w:pPr>
        <w:spacing w:after="0" w:line="240" w:lineRule="auto"/>
        <w:jc w:val="center"/>
      </w:pPr>
    </w:p>
    <w:p w:rsidR="00337955" w:rsidRPr="003B5639" w:rsidRDefault="00337955" w:rsidP="00337955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3B5639">
        <w:rPr>
          <w:rFonts w:eastAsia="Times New Roman"/>
          <w:b/>
          <w:bCs/>
          <w:sz w:val="27"/>
          <w:szCs w:val="27"/>
          <w:lang w:eastAsia="ru-RU"/>
        </w:rPr>
        <w:t>ЗАКЛЮЧЕНИЕ</w:t>
      </w:r>
    </w:p>
    <w:p w:rsidR="00F930B2" w:rsidRPr="003B5639" w:rsidRDefault="00337955" w:rsidP="00337955">
      <w:pPr>
        <w:spacing w:after="0" w:line="240" w:lineRule="auto"/>
        <w:jc w:val="center"/>
        <w:rPr>
          <w:b/>
          <w:sz w:val="27"/>
          <w:szCs w:val="27"/>
        </w:rPr>
      </w:pPr>
      <w:r w:rsidRPr="003B5639">
        <w:rPr>
          <w:rFonts w:eastAsia="Times New Roman"/>
          <w:b/>
          <w:bCs/>
          <w:sz w:val="27"/>
          <w:szCs w:val="27"/>
          <w:lang w:eastAsia="ru-RU"/>
        </w:rPr>
        <w:t xml:space="preserve">на проект закона Удмуртской Республики </w:t>
      </w:r>
      <w:r w:rsidR="000F4834">
        <w:rPr>
          <w:rFonts w:eastAsia="Times New Roman"/>
          <w:b/>
          <w:bCs/>
          <w:sz w:val="27"/>
          <w:szCs w:val="27"/>
          <w:lang w:eastAsia="ru-RU"/>
        </w:rPr>
        <w:t xml:space="preserve">№ 2532-6зп </w:t>
      </w:r>
      <w:r w:rsidRPr="003B5639">
        <w:rPr>
          <w:rFonts w:eastAsia="Times New Roman"/>
          <w:b/>
          <w:bCs/>
          <w:sz w:val="27"/>
          <w:szCs w:val="27"/>
          <w:lang w:eastAsia="ru-RU"/>
        </w:rPr>
        <w:t>«Об исполнении бюджета Территориального фонда обязательного медицинского страхования Удмуртской Республики за 201</w:t>
      </w:r>
      <w:r w:rsidR="002E67B2" w:rsidRPr="002E67B2">
        <w:rPr>
          <w:rFonts w:eastAsia="Times New Roman"/>
          <w:b/>
          <w:bCs/>
          <w:sz w:val="27"/>
          <w:szCs w:val="27"/>
          <w:lang w:eastAsia="ru-RU"/>
        </w:rPr>
        <w:t>7</w:t>
      </w:r>
      <w:r w:rsidRPr="003B5639">
        <w:rPr>
          <w:rFonts w:eastAsia="Times New Roman"/>
          <w:b/>
          <w:bCs/>
          <w:sz w:val="27"/>
          <w:szCs w:val="27"/>
          <w:lang w:eastAsia="ru-RU"/>
        </w:rPr>
        <w:t xml:space="preserve"> год» </w:t>
      </w:r>
    </w:p>
    <w:p w:rsidR="00F930B2" w:rsidRDefault="00F930B2" w:rsidP="002A1B64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8C28A2" w:rsidRPr="003B5639" w:rsidRDefault="008C28A2" w:rsidP="002A1B64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D90B79" w:rsidRPr="00282FA2" w:rsidRDefault="00F930B2" w:rsidP="00282FA2">
      <w:pPr>
        <w:spacing w:after="0" w:line="360" w:lineRule="auto"/>
        <w:ind w:firstLine="709"/>
        <w:jc w:val="both"/>
        <w:rPr>
          <w:sz w:val="27"/>
          <w:szCs w:val="27"/>
        </w:rPr>
      </w:pPr>
      <w:r w:rsidRPr="00282FA2">
        <w:rPr>
          <w:sz w:val="27"/>
          <w:szCs w:val="27"/>
        </w:rPr>
        <w:t>Постоянная комиссия Государственного Совета Удмуртской Республики по бюджету, налогам и финансам</w:t>
      </w:r>
      <w:r w:rsidR="001E7DA8" w:rsidRPr="00282FA2">
        <w:rPr>
          <w:sz w:val="27"/>
          <w:szCs w:val="27"/>
        </w:rPr>
        <w:t>,</w:t>
      </w:r>
      <w:r w:rsidRPr="00282FA2">
        <w:rPr>
          <w:sz w:val="27"/>
          <w:szCs w:val="27"/>
        </w:rPr>
        <w:t xml:space="preserve"> рассмотрев </w:t>
      </w:r>
      <w:r w:rsidR="00337955" w:rsidRPr="00282FA2">
        <w:rPr>
          <w:sz w:val="27"/>
          <w:szCs w:val="27"/>
        </w:rPr>
        <w:t xml:space="preserve">проект закона Удмуртской Республики </w:t>
      </w:r>
      <w:r w:rsidR="000F4834" w:rsidRPr="000F4834">
        <w:rPr>
          <w:sz w:val="27"/>
          <w:szCs w:val="27"/>
        </w:rPr>
        <w:t xml:space="preserve">№ 2532-6зп </w:t>
      </w:r>
      <w:r w:rsidR="00337955" w:rsidRPr="00282FA2">
        <w:rPr>
          <w:sz w:val="27"/>
          <w:szCs w:val="27"/>
        </w:rPr>
        <w:t>«Об исполнении бюджета Территориального фонда обязательного медицинского страхования Удмуртской Республики за 201</w:t>
      </w:r>
      <w:r w:rsidR="00741250" w:rsidRPr="00282FA2">
        <w:rPr>
          <w:sz w:val="27"/>
          <w:szCs w:val="27"/>
        </w:rPr>
        <w:t>7</w:t>
      </w:r>
      <w:r w:rsidR="00337955" w:rsidRPr="00282FA2">
        <w:rPr>
          <w:sz w:val="27"/>
          <w:szCs w:val="27"/>
        </w:rPr>
        <w:t xml:space="preserve"> год»</w:t>
      </w:r>
      <w:r w:rsidR="005E65C6" w:rsidRPr="00282FA2">
        <w:rPr>
          <w:sz w:val="27"/>
          <w:szCs w:val="27"/>
        </w:rPr>
        <w:t xml:space="preserve"> (далее – Проект</w:t>
      </w:r>
      <w:r w:rsidR="001C5830" w:rsidRPr="00282FA2">
        <w:rPr>
          <w:sz w:val="27"/>
          <w:szCs w:val="27"/>
        </w:rPr>
        <w:t xml:space="preserve"> закона</w:t>
      </w:r>
      <w:r w:rsidR="005E65C6" w:rsidRPr="00282FA2">
        <w:rPr>
          <w:sz w:val="27"/>
          <w:szCs w:val="27"/>
        </w:rPr>
        <w:t>)</w:t>
      </w:r>
      <w:r w:rsidRPr="00282FA2">
        <w:rPr>
          <w:sz w:val="27"/>
          <w:szCs w:val="27"/>
        </w:rPr>
        <w:t>, отмечает следующее.</w:t>
      </w:r>
    </w:p>
    <w:p w:rsidR="00254406" w:rsidRPr="00282FA2" w:rsidRDefault="00254406" w:rsidP="00282FA2">
      <w:pPr>
        <w:pStyle w:val="a8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282FA2">
        <w:rPr>
          <w:color w:val="000000"/>
          <w:sz w:val="27"/>
          <w:szCs w:val="27"/>
        </w:rPr>
        <w:t xml:space="preserve">         Законом Удмуртской Республики </w:t>
      </w:r>
      <w:r w:rsidR="00D7429D" w:rsidRPr="00282FA2">
        <w:rPr>
          <w:color w:val="000000"/>
          <w:sz w:val="27"/>
          <w:szCs w:val="27"/>
        </w:rPr>
        <w:t>от 23 декабря 2016 года № 92-РЗ                      «</w:t>
      </w:r>
      <w:r w:rsidR="00282FA2" w:rsidRPr="00282FA2">
        <w:rPr>
          <w:color w:val="000000"/>
          <w:sz w:val="27"/>
          <w:szCs w:val="27"/>
        </w:rPr>
        <w:t xml:space="preserve">О </w:t>
      </w:r>
      <w:r w:rsidR="00D7429D" w:rsidRPr="00282FA2">
        <w:rPr>
          <w:color w:val="000000"/>
          <w:sz w:val="27"/>
          <w:szCs w:val="27"/>
        </w:rPr>
        <w:t>бюджете Территориального фонда обязательного медицинского страхования Удмуртской Республики на 2017 год и на плановый период 2018 и 2019 годов»</w:t>
      </w:r>
      <w:r w:rsidR="00D440AA">
        <w:rPr>
          <w:color w:val="000000"/>
          <w:sz w:val="27"/>
          <w:szCs w:val="27"/>
        </w:rPr>
        <w:t xml:space="preserve">, с учётом изменений, внесённых </w:t>
      </w:r>
      <w:r w:rsidR="00D440AA" w:rsidRPr="00282FA2">
        <w:rPr>
          <w:color w:val="000000"/>
          <w:sz w:val="27"/>
          <w:szCs w:val="27"/>
        </w:rPr>
        <w:t>Законами Удмуртской Республики от 10 мая 2017 года № 23-РЗ и</w:t>
      </w:r>
      <w:r w:rsidR="00D440AA" w:rsidRPr="00282FA2">
        <w:rPr>
          <w:sz w:val="27"/>
          <w:szCs w:val="27"/>
        </w:rPr>
        <w:t xml:space="preserve"> 9 ноября 2017 года № 59-РЗ</w:t>
      </w:r>
      <w:r w:rsidR="00D440AA" w:rsidRPr="00D440AA">
        <w:rPr>
          <w:sz w:val="27"/>
          <w:szCs w:val="27"/>
        </w:rPr>
        <w:t>,</w:t>
      </w:r>
      <w:r w:rsidR="00D7429D" w:rsidRPr="00D440AA">
        <w:rPr>
          <w:color w:val="000000"/>
          <w:sz w:val="27"/>
          <w:szCs w:val="27"/>
        </w:rPr>
        <w:t xml:space="preserve"> </w:t>
      </w:r>
      <w:r w:rsidRPr="00D440AA">
        <w:rPr>
          <w:color w:val="000000"/>
          <w:sz w:val="27"/>
          <w:szCs w:val="27"/>
        </w:rPr>
        <w:t>б</w:t>
      </w:r>
      <w:r w:rsidRPr="00282FA2">
        <w:rPr>
          <w:color w:val="000000"/>
          <w:sz w:val="27"/>
          <w:szCs w:val="27"/>
        </w:rPr>
        <w:t xml:space="preserve">юджет </w:t>
      </w:r>
      <w:r w:rsidR="00D7429D" w:rsidRPr="00282FA2">
        <w:rPr>
          <w:color w:val="000000"/>
          <w:sz w:val="27"/>
          <w:szCs w:val="27"/>
        </w:rPr>
        <w:t xml:space="preserve">Территориального фонда обязательного медицинского страхования Удмуртской Республики (далее Фонд) </w:t>
      </w:r>
      <w:r w:rsidRPr="00282FA2">
        <w:rPr>
          <w:color w:val="000000"/>
          <w:sz w:val="27"/>
          <w:szCs w:val="27"/>
        </w:rPr>
        <w:t>на 201</w:t>
      </w:r>
      <w:r w:rsidR="00D7429D" w:rsidRPr="00282FA2">
        <w:rPr>
          <w:color w:val="000000"/>
          <w:sz w:val="27"/>
          <w:szCs w:val="27"/>
        </w:rPr>
        <w:t>7</w:t>
      </w:r>
      <w:r w:rsidRPr="00282FA2">
        <w:rPr>
          <w:color w:val="000000"/>
          <w:sz w:val="27"/>
          <w:szCs w:val="27"/>
        </w:rPr>
        <w:t xml:space="preserve"> год </w:t>
      </w:r>
      <w:r w:rsidR="00D440AA" w:rsidRPr="00282FA2">
        <w:rPr>
          <w:color w:val="000000"/>
          <w:sz w:val="27"/>
          <w:szCs w:val="27"/>
        </w:rPr>
        <w:t xml:space="preserve">утверждён </w:t>
      </w:r>
      <w:r w:rsidRPr="00282FA2">
        <w:rPr>
          <w:color w:val="000000"/>
          <w:sz w:val="27"/>
          <w:szCs w:val="27"/>
        </w:rPr>
        <w:t xml:space="preserve">по доходам </w:t>
      </w:r>
      <w:r w:rsidR="00D440AA">
        <w:rPr>
          <w:color w:val="000000"/>
          <w:sz w:val="27"/>
          <w:szCs w:val="27"/>
        </w:rPr>
        <w:t xml:space="preserve">в сумме </w:t>
      </w:r>
      <w:r w:rsidR="00D7429D" w:rsidRPr="00282FA2">
        <w:rPr>
          <w:color w:val="000000"/>
          <w:sz w:val="27"/>
          <w:szCs w:val="27"/>
        </w:rPr>
        <w:t xml:space="preserve">15 467 </w:t>
      </w:r>
      <w:r w:rsidR="00FC6F11">
        <w:rPr>
          <w:color w:val="000000"/>
          <w:sz w:val="27"/>
          <w:szCs w:val="27"/>
        </w:rPr>
        <w:t>123,</w:t>
      </w:r>
      <w:r w:rsidR="00D7429D" w:rsidRPr="00282FA2">
        <w:rPr>
          <w:color w:val="000000"/>
          <w:sz w:val="27"/>
          <w:szCs w:val="27"/>
        </w:rPr>
        <w:t>7</w:t>
      </w:r>
      <w:r w:rsidRPr="00282FA2">
        <w:rPr>
          <w:color w:val="000000"/>
          <w:sz w:val="27"/>
          <w:szCs w:val="27"/>
        </w:rPr>
        <w:t xml:space="preserve"> тыс. рублей, по расходам </w:t>
      </w:r>
      <w:r w:rsidR="00D440AA">
        <w:rPr>
          <w:color w:val="000000"/>
          <w:sz w:val="27"/>
          <w:szCs w:val="27"/>
        </w:rPr>
        <w:t xml:space="preserve">в сумме </w:t>
      </w:r>
      <w:r w:rsidR="00D7429D" w:rsidRPr="00282FA2">
        <w:rPr>
          <w:color w:val="000000"/>
          <w:sz w:val="27"/>
          <w:szCs w:val="27"/>
        </w:rPr>
        <w:t xml:space="preserve">15 537 448,0 </w:t>
      </w:r>
      <w:r w:rsidRPr="00282FA2">
        <w:rPr>
          <w:color w:val="000000"/>
          <w:sz w:val="27"/>
          <w:szCs w:val="27"/>
        </w:rPr>
        <w:t>тыс. рублей.</w:t>
      </w:r>
    </w:p>
    <w:p w:rsidR="00A652E2" w:rsidRPr="00282FA2" w:rsidRDefault="00D440AA" w:rsidP="00D440AA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="00254406" w:rsidRPr="00282FA2">
        <w:rPr>
          <w:color w:val="000000"/>
          <w:sz w:val="27"/>
          <w:szCs w:val="27"/>
        </w:rPr>
        <w:t xml:space="preserve">зменения </w:t>
      </w:r>
      <w:r w:rsidR="00370FF5">
        <w:rPr>
          <w:color w:val="000000"/>
          <w:sz w:val="27"/>
          <w:szCs w:val="27"/>
        </w:rPr>
        <w:t>в бюджет Фонда вносились</w:t>
      </w:r>
      <w:r w:rsidRPr="00282FA2">
        <w:rPr>
          <w:color w:val="000000"/>
          <w:sz w:val="27"/>
          <w:szCs w:val="27"/>
        </w:rPr>
        <w:t xml:space="preserve"> </w:t>
      </w:r>
      <w:r w:rsidR="00254406" w:rsidRPr="00282FA2">
        <w:rPr>
          <w:color w:val="000000"/>
          <w:sz w:val="27"/>
          <w:szCs w:val="27"/>
        </w:rPr>
        <w:t xml:space="preserve">в связи с уточнением сумм </w:t>
      </w:r>
      <w:r w:rsidR="006413DB">
        <w:rPr>
          <w:color w:val="000000"/>
          <w:sz w:val="27"/>
          <w:szCs w:val="27"/>
        </w:rPr>
        <w:t>прочих</w:t>
      </w:r>
      <w:r w:rsidR="009D15D4">
        <w:rPr>
          <w:color w:val="000000"/>
          <w:sz w:val="27"/>
          <w:szCs w:val="27"/>
        </w:rPr>
        <w:t xml:space="preserve"> </w:t>
      </w:r>
      <w:r w:rsidR="00A652E2" w:rsidRPr="00282FA2">
        <w:rPr>
          <w:color w:val="000000"/>
          <w:sz w:val="27"/>
          <w:szCs w:val="27"/>
        </w:rPr>
        <w:t xml:space="preserve">неналоговых доходов, безвозмездных поступлений в части межбюджетных трансфертов из бюджета Федерального фонда </w:t>
      </w:r>
      <w:r w:rsidR="006930AE" w:rsidRPr="006930AE">
        <w:rPr>
          <w:color w:val="000000"/>
          <w:sz w:val="27"/>
          <w:szCs w:val="27"/>
        </w:rPr>
        <w:t xml:space="preserve">обязательного медицинского страхования </w:t>
      </w:r>
      <w:r w:rsidR="000F4834" w:rsidRPr="000F4834">
        <w:rPr>
          <w:color w:val="000000"/>
          <w:sz w:val="27"/>
          <w:szCs w:val="27"/>
        </w:rPr>
        <w:t>(далее – ФФОМС)</w:t>
      </w:r>
      <w:r w:rsidR="00A652E2" w:rsidRPr="00282FA2">
        <w:rPr>
          <w:color w:val="000000"/>
          <w:sz w:val="27"/>
          <w:szCs w:val="27"/>
        </w:rPr>
        <w:t xml:space="preserve"> и возвратов остатков целевых средств 2016 года.</w:t>
      </w:r>
    </w:p>
    <w:p w:rsidR="00D90B79" w:rsidRPr="00282FA2" w:rsidRDefault="00A652E2" w:rsidP="00282FA2">
      <w:pPr>
        <w:spacing w:after="0" w:line="360" w:lineRule="auto"/>
        <w:ind w:firstLine="709"/>
        <w:jc w:val="both"/>
        <w:rPr>
          <w:sz w:val="27"/>
          <w:szCs w:val="27"/>
        </w:rPr>
      </w:pPr>
      <w:r w:rsidRPr="00282FA2">
        <w:rPr>
          <w:sz w:val="27"/>
          <w:szCs w:val="27"/>
        </w:rPr>
        <w:t xml:space="preserve">Основные параметры бюджета </w:t>
      </w:r>
      <w:r w:rsidR="006930AE">
        <w:rPr>
          <w:sz w:val="27"/>
          <w:szCs w:val="27"/>
        </w:rPr>
        <w:t>Фонда</w:t>
      </w:r>
      <w:r w:rsidRPr="00282FA2">
        <w:rPr>
          <w:sz w:val="27"/>
          <w:szCs w:val="27"/>
        </w:rPr>
        <w:t xml:space="preserve"> на 2017 год</w:t>
      </w:r>
      <w:r w:rsidR="00D90B79" w:rsidRPr="00282FA2">
        <w:rPr>
          <w:sz w:val="27"/>
          <w:szCs w:val="27"/>
        </w:rPr>
        <w:t xml:space="preserve"> отражены в таблице</w:t>
      </w:r>
      <w:r w:rsidR="00FA5875">
        <w:rPr>
          <w:sz w:val="27"/>
          <w:szCs w:val="27"/>
        </w:rPr>
        <w:t>:</w:t>
      </w:r>
    </w:p>
    <w:p w:rsidR="008C28A2" w:rsidRDefault="008C28A2" w:rsidP="00D90B79">
      <w:pPr>
        <w:spacing w:after="0" w:line="240" w:lineRule="auto"/>
        <w:ind w:firstLine="709"/>
        <w:jc w:val="right"/>
        <w:rPr>
          <w:sz w:val="27"/>
          <w:szCs w:val="27"/>
        </w:rPr>
      </w:pPr>
    </w:p>
    <w:p w:rsidR="004754D7" w:rsidRPr="00FC6F11" w:rsidRDefault="004754D7" w:rsidP="00D90B79">
      <w:pPr>
        <w:spacing w:after="0" w:line="240" w:lineRule="auto"/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2835"/>
      </w:tblGrid>
      <w:tr w:rsidR="00D90B79" w:rsidRPr="00FC6F11" w:rsidTr="004754D7">
        <w:trPr>
          <w:trHeight w:val="1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79" w:rsidRPr="0070049D" w:rsidRDefault="00A652E2" w:rsidP="00A652E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A2" w:rsidRPr="0070049D" w:rsidRDefault="00282FA2" w:rsidP="00A652E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>Первоначальный бюджет ТФОМС УР на 2017 год</w:t>
            </w:r>
          </w:p>
          <w:p w:rsidR="00282FA2" w:rsidRPr="0070049D" w:rsidRDefault="00282FA2" w:rsidP="00A652E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>(</w:t>
            </w:r>
            <w:r w:rsidR="006413DB" w:rsidRPr="0070049D">
              <w:rPr>
                <w:b/>
                <w:color w:val="000000"/>
              </w:rPr>
              <w:t>в редакции</w:t>
            </w:r>
            <w:r w:rsidR="00A652E2" w:rsidRPr="0070049D">
              <w:rPr>
                <w:b/>
                <w:color w:val="000000"/>
              </w:rPr>
              <w:t xml:space="preserve"> Закон</w:t>
            </w:r>
            <w:r w:rsidR="006413DB" w:rsidRPr="0070049D">
              <w:rPr>
                <w:b/>
                <w:color w:val="000000"/>
              </w:rPr>
              <w:t>а</w:t>
            </w:r>
            <w:r w:rsidR="00A652E2" w:rsidRPr="0070049D">
              <w:rPr>
                <w:b/>
                <w:color w:val="000000"/>
              </w:rPr>
              <w:t xml:space="preserve"> УР</w:t>
            </w:r>
            <w:r w:rsidRPr="0070049D">
              <w:rPr>
                <w:b/>
                <w:color w:val="000000"/>
              </w:rPr>
              <w:t xml:space="preserve"> </w:t>
            </w:r>
          </w:p>
          <w:p w:rsidR="00282FA2" w:rsidRPr="0070049D" w:rsidRDefault="00282FA2" w:rsidP="00A652E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>от 23.12.2016</w:t>
            </w:r>
            <w:r w:rsidR="004754D7">
              <w:rPr>
                <w:b/>
                <w:color w:val="000000"/>
              </w:rPr>
              <w:t>г.</w:t>
            </w:r>
            <w:r w:rsidR="006413DB" w:rsidRPr="0070049D">
              <w:rPr>
                <w:b/>
                <w:color w:val="000000"/>
              </w:rPr>
              <w:t xml:space="preserve"> </w:t>
            </w:r>
          </w:p>
          <w:p w:rsidR="00282FA2" w:rsidRPr="0070049D" w:rsidRDefault="00282FA2" w:rsidP="00A652E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>№ 92-РЗ)</w:t>
            </w:r>
            <w:r w:rsidR="00D90B79" w:rsidRPr="0070049D">
              <w:rPr>
                <w:b/>
                <w:color w:val="000000"/>
              </w:rPr>
              <w:t xml:space="preserve"> </w:t>
            </w:r>
          </w:p>
          <w:p w:rsidR="00D90B79" w:rsidRPr="0070049D" w:rsidRDefault="00D90B79" w:rsidP="00A652E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D7" w:rsidRDefault="00282FA2" w:rsidP="00282FA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 xml:space="preserve">Бюджет ТФОМС УР </w:t>
            </w:r>
          </w:p>
          <w:p w:rsidR="00282FA2" w:rsidRPr="0070049D" w:rsidRDefault="00282FA2" w:rsidP="00282FA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>на 2017 год,</w:t>
            </w:r>
          </w:p>
          <w:p w:rsidR="004754D7" w:rsidRDefault="00282FA2" w:rsidP="004754D7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 xml:space="preserve"> с учё</w:t>
            </w:r>
            <w:r w:rsidR="00D90B79" w:rsidRPr="0070049D">
              <w:rPr>
                <w:b/>
                <w:color w:val="000000"/>
              </w:rPr>
              <w:t>том</w:t>
            </w:r>
            <w:r w:rsidRPr="0070049D">
              <w:rPr>
                <w:b/>
                <w:color w:val="000000"/>
              </w:rPr>
              <w:t xml:space="preserve"> </w:t>
            </w:r>
            <w:r w:rsidR="004754D7">
              <w:rPr>
                <w:b/>
                <w:color w:val="000000"/>
              </w:rPr>
              <w:t>изменений</w:t>
            </w:r>
          </w:p>
          <w:p w:rsidR="004754D7" w:rsidRPr="0070049D" w:rsidRDefault="004754D7" w:rsidP="004754D7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54D7">
              <w:rPr>
                <w:b/>
                <w:color w:val="000000"/>
              </w:rPr>
              <w:t>(в редакции</w:t>
            </w:r>
            <w:r>
              <w:rPr>
                <w:b/>
                <w:color w:val="000000"/>
              </w:rPr>
              <w:t xml:space="preserve"> </w:t>
            </w:r>
            <w:r w:rsidRPr="004754D7">
              <w:rPr>
                <w:b/>
                <w:color w:val="000000"/>
              </w:rPr>
              <w:t>Закона УР от 09.11.2017г.</w:t>
            </w:r>
            <w:r>
              <w:rPr>
                <w:b/>
                <w:color w:val="000000"/>
              </w:rPr>
              <w:t xml:space="preserve"> </w:t>
            </w:r>
            <w:r w:rsidRPr="004754D7">
              <w:rPr>
                <w:b/>
                <w:color w:val="000000"/>
              </w:rPr>
              <w:t>№ 59-РЗ)</w:t>
            </w:r>
          </w:p>
        </w:tc>
      </w:tr>
      <w:tr w:rsidR="00D440AA" w:rsidRPr="00FC6F11" w:rsidTr="006413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AA" w:rsidRPr="00FC6F11" w:rsidRDefault="00D440AA" w:rsidP="004754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C6F11">
              <w:rPr>
                <w:color w:val="000000"/>
                <w:sz w:val="27"/>
                <w:szCs w:val="27"/>
              </w:rPr>
              <w:t xml:space="preserve">Доходы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0AA" w:rsidRPr="00FC6F11" w:rsidRDefault="006413DB" w:rsidP="00D440A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16 061 150,6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0AA" w:rsidRPr="00FC6F11" w:rsidRDefault="00D440AA" w:rsidP="00D440A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C6F11">
              <w:rPr>
                <w:color w:val="000000"/>
                <w:sz w:val="27"/>
                <w:szCs w:val="27"/>
              </w:rPr>
              <w:t>15 467 123,7</w:t>
            </w:r>
          </w:p>
        </w:tc>
      </w:tr>
      <w:tr w:rsidR="00D440AA" w:rsidRPr="00FC6F11" w:rsidTr="006413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AA" w:rsidRPr="00FC6F11" w:rsidRDefault="00D440AA" w:rsidP="004754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C6F11">
              <w:rPr>
                <w:color w:val="000000"/>
                <w:sz w:val="27"/>
                <w:szCs w:val="27"/>
              </w:rPr>
              <w:t xml:space="preserve">Расходы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0AA" w:rsidRPr="00FC6F11" w:rsidRDefault="006413DB" w:rsidP="00D440A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16 061 150,6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0AA" w:rsidRPr="00FC6F11" w:rsidRDefault="00D440AA" w:rsidP="00D440A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C6F11">
              <w:rPr>
                <w:color w:val="000000"/>
                <w:sz w:val="27"/>
                <w:szCs w:val="27"/>
              </w:rPr>
              <w:t>15 537 448,0</w:t>
            </w:r>
          </w:p>
        </w:tc>
      </w:tr>
      <w:tr w:rsidR="00D90B79" w:rsidRPr="00FC6F11" w:rsidTr="006413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79" w:rsidRPr="00FC6F11" w:rsidRDefault="00D90B79" w:rsidP="004754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C6F11">
              <w:rPr>
                <w:color w:val="000000"/>
                <w:sz w:val="27"/>
                <w:szCs w:val="27"/>
              </w:rPr>
              <w:t xml:space="preserve">Дефицит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B79" w:rsidRPr="00FC6F11" w:rsidRDefault="006413DB" w:rsidP="00BF595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B79" w:rsidRPr="00FC6F11" w:rsidRDefault="00B06D75" w:rsidP="00A6798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70 324,3</w:t>
            </w:r>
          </w:p>
        </w:tc>
      </w:tr>
    </w:tbl>
    <w:p w:rsidR="00D90B79" w:rsidRPr="00FC6F11" w:rsidRDefault="00D90B79" w:rsidP="00D90B79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D90B79" w:rsidRPr="0070049D" w:rsidRDefault="00D4668A" w:rsidP="00D90B79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D90B79" w:rsidRPr="0070049D">
        <w:rPr>
          <w:sz w:val="27"/>
          <w:szCs w:val="27"/>
        </w:rPr>
        <w:t xml:space="preserve">сполнение бюджета Фонда </w:t>
      </w:r>
      <w:r w:rsidR="004754D7">
        <w:rPr>
          <w:sz w:val="27"/>
          <w:szCs w:val="27"/>
        </w:rPr>
        <w:t xml:space="preserve">за 2017 год </w:t>
      </w:r>
      <w:r w:rsidR="00FA5875">
        <w:rPr>
          <w:sz w:val="27"/>
          <w:szCs w:val="27"/>
        </w:rPr>
        <w:t>отражено в таблице</w:t>
      </w:r>
      <w:r w:rsidR="00D90B79" w:rsidRPr="0070049D">
        <w:rPr>
          <w:sz w:val="27"/>
          <w:szCs w:val="27"/>
        </w:rPr>
        <w:t>:</w:t>
      </w:r>
    </w:p>
    <w:p w:rsidR="00045616" w:rsidRPr="0070049D" w:rsidRDefault="00045616" w:rsidP="00D90B79">
      <w:pPr>
        <w:spacing w:after="0" w:line="240" w:lineRule="auto"/>
        <w:ind w:firstLine="709"/>
        <w:jc w:val="right"/>
        <w:rPr>
          <w:sz w:val="27"/>
          <w:szCs w:val="27"/>
        </w:rPr>
      </w:pPr>
    </w:p>
    <w:p w:rsidR="00045616" w:rsidRPr="0070049D" w:rsidRDefault="00045616" w:rsidP="00045616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70049D">
        <w:rPr>
          <w:sz w:val="27"/>
          <w:szCs w:val="27"/>
        </w:rPr>
        <w:t xml:space="preserve">          </w:t>
      </w:r>
      <w:r w:rsidRPr="0070049D">
        <w:rPr>
          <w:color w:val="000000"/>
          <w:sz w:val="27"/>
          <w:szCs w:val="27"/>
        </w:rPr>
        <w:t>тыс. руб.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801"/>
        <w:gridCol w:w="1644"/>
        <w:gridCol w:w="1841"/>
        <w:gridCol w:w="1278"/>
        <w:gridCol w:w="1275"/>
      </w:tblGrid>
      <w:tr w:rsidR="00045616" w:rsidRPr="0070049D" w:rsidTr="0070049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6" w:rsidRPr="0070049D" w:rsidRDefault="0070049D" w:rsidP="0070049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7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0049D">
              <w:rPr>
                <w:b/>
                <w:bCs/>
              </w:rPr>
              <w:t xml:space="preserve">Бюджет Фонда </w:t>
            </w:r>
          </w:p>
          <w:p w:rsidR="004754D7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0049D">
              <w:rPr>
                <w:b/>
                <w:bCs/>
              </w:rPr>
              <w:t>на 201</w:t>
            </w:r>
            <w:r w:rsidR="006413DB" w:rsidRPr="0070049D">
              <w:rPr>
                <w:b/>
                <w:bCs/>
              </w:rPr>
              <w:t>7</w:t>
            </w:r>
            <w:r w:rsidR="0070049D" w:rsidRPr="0070049D">
              <w:rPr>
                <w:b/>
                <w:bCs/>
              </w:rPr>
              <w:t xml:space="preserve"> год </w:t>
            </w:r>
          </w:p>
          <w:p w:rsidR="00045616" w:rsidRPr="0070049D" w:rsidRDefault="004754D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0049D" w:rsidRPr="0070049D">
              <w:rPr>
                <w:b/>
                <w:bCs/>
              </w:rPr>
              <w:t>в редакции З</w:t>
            </w:r>
            <w:r w:rsidR="00045616" w:rsidRPr="0070049D">
              <w:rPr>
                <w:b/>
                <w:bCs/>
              </w:rPr>
              <w:t xml:space="preserve">акона </w:t>
            </w:r>
            <w:r>
              <w:rPr>
                <w:b/>
                <w:bCs/>
              </w:rPr>
              <w:t xml:space="preserve">УР </w:t>
            </w:r>
            <w:r w:rsidR="00045616" w:rsidRPr="0070049D">
              <w:rPr>
                <w:b/>
                <w:bCs/>
              </w:rPr>
              <w:t xml:space="preserve">от </w:t>
            </w:r>
            <w:r w:rsidR="0070049D" w:rsidRPr="0070049D">
              <w:rPr>
                <w:b/>
                <w:bCs/>
              </w:rPr>
              <w:t>23</w:t>
            </w:r>
            <w:r w:rsidR="00045616" w:rsidRPr="0070049D">
              <w:rPr>
                <w:b/>
                <w:bCs/>
              </w:rPr>
              <w:t>.12.20</w:t>
            </w:r>
            <w:r w:rsidR="00A67982" w:rsidRPr="0070049D">
              <w:rPr>
                <w:b/>
                <w:bCs/>
              </w:rPr>
              <w:t>1</w:t>
            </w:r>
            <w:r w:rsidR="0070049D" w:rsidRPr="0070049D">
              <w:rPr>
                <w:b/>
                <w:bCs/>
              </w:rPr>
              <w:t xml:space="preserve">6 </w:t>
            </w:r>
            <w:r w:rsidR="00045616" w:rsidRPr="0070049D">
              <w:rPr>
                <w:b/>
                <w:bCs/>
              </w:rPr>
              <w:t xml:space="preserve">г. </w:t>
            </w:r>
          </w:p>
          <w:p w:rsidR="00045616" w:rsidRDefault="00045616" w:rsidP="0070049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0049D">
              <w:rPr>
                <w:b/>
                <w:bCs/>
              </w:rPr>
              <w:t xml:space="preserve">№ </w:t>
            </w:r>
            <w:r w:rsidR="00EB26B6" w:rsidRPr="0070049D">
              <w:rPr>
                <w:b/>
                <w:bCs/>
              </w:rPr>
              <w:t>9</w:t>
            </w:r>
            <w:r w:rsidR="0070049D" w:rsidRPr="0070049D">
              <w:rPr>
                <w:b/>
                <w:bCs/>
              </w:rPr>
              <w:t>2</w:t>
            </w:r>
            <w:r w:rsidRPr="0070049D">
              <w:rPr>
                <w:b/>
                <w:bCs/>
              </w:rPr>
              <w:t>-РЗ</w:t>
            </w:r>
            <w:r w:rsidR="004754D7">
              <w:rPr>
                <w:b/>
                <w:bCs/>
              </w:rPr>
              <w:t>)</w:t>
            </w:r>
          </w:p>
          <w:p w:rsidR="004754D7" w:rsidRPr="0070049D" w:rsidRDefault="004754D7" w:rsidP="0070049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7" w:rsidRDefault="00045616" w:rsidP="0070049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0049D">
              <w:rPr>
                <w:b/>
                <w:bCs/>
              </w:rPr>
              <w:t>Бюджет Фонда на 201</w:t>
            </w:r>
            <w:r w:rsidR="0070049D" w:rsidRPr="0070049D">
              <w:rPr>
                <w:b/>
                <w:bCs/>
              </w:rPr>
              <w:t>7</w:t>
            </w:r>
            <w:r w:rsidR="004754D7">
              <w:rPr>
                <w:b/>
                <w:bCs/>
              </w:rPr>
              <w:t xml:space="preserve"> год с учё</w:t>
            </w:r>
            <w:r w:rsidRPr="0070049D">
              <w:rPr>
                <w:b/>
                <w:bCs/>
              </w:rPr>
              <w:t>том изменений</w:t>
            </w:r>
          </w:p>
          <w:p w:rsidR="0070049D" w:rsidRPr="0070049D" w:rsidRDefault="004754D7" w:rsidP="0070049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45616" w:rsidRPr="0070049D">
              <w:rPr>
                <w:b/>
                <w:bCs/>
              </w:rPr>
              <w:t>в ред</w:t>
            </w:r>
            <w:r w:rsidR="0070049D" w:rsidRPr="0070049D">
              <w:rPr>
                <w:b/>
                <w:bCs/>
              </w:rPr>
              <w:t>акции</w:t>
            </w:r>
          </w:p>
          <w:p w:rsidR="00045616" w:rsidRPr="0070049D" w:rsidRDefault="0070049D" w:rsidP="0070049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bCs/>
              </w:rPr>
              <w:t>Закона</w:t>
            </w:r>
            <w:r w:rsidR="00045616" w:rsidRPr="0070049D">
              <w:rPr>
                <w:b/>
                <w:bCs/>
              </w:rPr>
              <w:t xml:space="preserve"> </w:t>
            </w:r>
            <w:r w:rsidR="004754D7">
              <w:rPr>
                <w:b/>
                <w:bCs/>
              </w:rPr>
              <w:t xml:space="preserve">УР </w:t>
            </w:r>
            <w:r w:rsidR="00045616" w:rsidRPr="0070049D">
              <w:rPr>
                <w:b/>
                <w:bCs/>
              </w:rPr>
              <w:t xml:space="preserve">от </w:t>
            </w:r>
            <w:r w:rsidRPr="0070049D">
              <w:rPr>
                <w:b/>
                <w:bCs/>
              </w:rPr>
              <w:t>09</w:t>
            </w:r>
            <w:r w:rsidR="00045616" w:rsidRPr="0070049D">
              <w:rPr>
                <w:b/>
                <w:bCs/>
              </w:rPr>
              <w:t>.1</w:t>
            </w:r>
            <w:r w:rsidRPr="0070049D">
              <w:rPr>
                <w:b/>
                <w:bCs/>
              </w:rPr>
              <w:t>1</w:t>
            </w:r>
            <w:r w:rsidR="00045616" w:rsidRPr="0070049D">
              <w:rPr>
                <w:b/>
                <w:bCs/>
              </w:rPr>
              <w:t>.201</w:t>
            </w:r>
            <w:r w:rsidRPr="0070049D">
              <w:rPr>
                <w:b/>
                <w:bCs/>
              </w:rPr>
              <w:t>7</w:t>
            </w:r>
            <w:r w:rsidR="00045616" w:rsidRPr="0070049D">
              <w:rPr>
                <w:b/>
                <w:bCs/>
              </w:rPr>
              <w:t>г.</w:t>
            </w:r>
            <w:r w:rsidRPr="0070049D">
              <w:rPr>
                <w:b/>
                <w:bCs/>
              </w:rPr>
              <w:t>№ 59-РЗ</w:t>
            </w:r>
            <w:r w:rsidR="00045616" w:rsidRPr="0070049D">
              <w:rPr>
                <w:b/>
                <w:bCs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Pr="0070049D" w:rsidRDefault="0070049D" w:rsidP="0070049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>И</w:t>
            </w:r>
            <w:r w:rsidR="00045616" w:rsidRPr="0070049D">
              <w:rPr>
                <w:b/>
                <w:color w:val="000000"/>
              </w:rPr>
              <w:t>сполнени</w:t>
            </w:r>
            <w:r w:rsidRPr="0070049D">
              <w:rPr>
                <w:b/>
                <w:color w:val="000000"/>
              </w:rPr>
              <w:t>е</w:t>
            </w:r>
            <w:r w:rsidR="00045616" w:rsidRPr="0070049D">
              <w:rPr>
                <w:b/>
                <w:color w:val="000000"/>
              </w:rPr>
              <w:t xml:space="preserve"> бюджета</w:t>
            </w:r>
          </w:p>
          <w:p w:rsidR="0070049D" w:rsidRPr="0070049D" w:rsidRDefault="0070049D" w:rsidP="0070049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>Фонда</w:t>
            </w:r>
          </w:p>
          <w:p w:rsidR="0070049D" w:rsidRPr="0070049D" w:rsidRDefault="0070049D" w:rsidP="0070049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 xml:space="preserve"> за 2017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Pr="0070049D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 xml:space="preserve">Процент </w:t>
            </w:r>
            <w:proofErr w:type="spellStart"/>
            <w:proofErr w:type="gramStart"/>
            <w:r w:rsidRPr="0070049D">
              <w:rPr>
                <w:b/>
                <w:color w:val="000000"/>
              </w:rPr>
              <w:t>исполне</w:t>
            </w:r>
            <w:r w:rsidR="0070049D">
              <w:rPr>
                <w:b/>
                <w:color w:val="000000"/>
              </w:rPr>
              <w:t>-</w:t>
            </w:r>
            <w:r w:rsidRPr="0070049D">
              <w:rPr>
                <w:b/>
                <w:color w:val="000000"/>
              </w:rPr>
              <w:t>ния</w:t>
            </w:r>
            <w:proofErr w:type="spellEnd"/>
            <w:proofErr w:type="gramEnd"/>
            <w:r w:rsidRPr="0070049D">
              <w:rPr>
                <w:b/>
                <w:color w:val="000000"/>
              </w:rPr>
              <w:t xml:space="preserve"> бюджета от </w:t>
            </w:r>
            <w:proofErr w:type="spellStart"/>
            <w:r w:rsidRPr="0070049D">
              <w:rPr>
                <w:b/>
                <w:color w:val="000000"/>
              </w:rPr>
              <w:t>первона</w:t>
            </w:r>
            <w:r w:rsidR="0070049D">
              <w:rPr>
                <w:b/>
                <w:color w:val="000000"/>
              </w:rPr>
              <w:t>-</w:t>
            </w:r>
            <w:r w:rsidRPr="0070049D">
              <w:rPr>
                <w:b/>
                <w:color w:val="000000"/>
              </w:rPr>
              <w:t>чального</w:t>
            </w:r>
            <w:proofErr w:type="spellEnd"/>
            <w:r w:rsidRPr="0070049D">
              <w:rPr>
                <w:b/>
                <w:color w:val="000000"/>
              </w:rPr>
              <w:t xml:space="preserve">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Pr="0070049D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0049D">
              <w:rPr>
                <w:b/>
                <w:color w:val="000000"/>
              </w:rPr>
              <w:t xml:space="preserve">Процент </w:t>
            </w:r>
            <w:proofErr w:type="spellStart"/>
            <w:proofErr w:type="gramStart"/>
            <w:r w:rsidRPr="0070049D">
              <w:rPr>
                <w:b/>
                <w:color w:val="000000"/>
              </w:rPr>
              <w:t>исполне</w:t>
            </w:r>
            <w:r w:rsidR="0070049D">
              <w:rPr>
                <w:b/>
                <w:color w:val="000000"/>
              </w:rPr>
              <w:t>-</w:t>
            </w:r>
            <w:r w:rsidRPr="0070049D">
              <w:rPr>
                <w:b/>
                <w:color w:val="000000"/>
              </w:rPr>
              <w:t>ния</w:t>
            </w:r>
            <w:proofErr w:type="spellEnd"/>
            <w:proofErr w:type="gramEnd"/>
            <w:r w:rsidRPr="0070049D">
              <w:rPr>
                <w:b/>
                <w:color w:val="000000"/>
              </w:rPr>
              <w:t xml:space="preserve"> от плана с учетом измене</w:t>
            </w:r>
            <w:r w:rsidR="0070049D">
              <w:rPr>
                <w:b/>
                <w:color w:val="000000"/>
              </w:rPr>
              <w:t>-</w:t>
            </w:r>
            <w:proofErr w:type="spellStart"/>
            <w:r w:rsidRPr="0070049D">
              <w:rPr>
                <w:b/>
                <w:color w:val="000000"/>
              </w:rPr>
              <w:t>ний</w:t>
            </w:r>
            <w:proofErr w:type="spellEnd"/>
          </w:p>
        </w:tc>
      </w:tr>
      <w:tr w:rsidR="00045616" w:rsidRPr="0070049D" w:rsidTr="0070049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Pr="0070049D" w:rsidRDefault="00045616" w:rsidP="004754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70049D">
              <w:rPr>
                <w:color w:val="000000"/>
                <w:sz w:val="27"/>
                <w:szCs w:val="27"/>
              </w:rPr>
              <w:t xml:space="preserve">Доходы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616" w:rsidRPr="0070049D" w:rsidRDefault="0070049D" w:rsidP="00EB26B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16 061 150,6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616" w:rsidRPr="0070049D" w:rsidRDefault="0070049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15 467 123,7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045616" w:rsidP="0070049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70049D">
              <w:rPr>
                <w:b/>
                <w:color w:val="000000"/>
                <w:sz w:val="27"/>
                <w:szCs w:val="27"/>
              </w:rPr>
              <w:t>1</w:t>
            </w:r>
            <w:r w:rsidR="0070049D">
              <w:rPr>
                <w:b/>
                <w:color w:val="000000"/>
                <w:sz w:val="27"/>
                <w:szCs w:val="27"/>
              </w:rPr>
              <w:t>5</w:t>
            </w:r>
            <w:r w:rsidR="00EB26B6" w:rsidRPr="0070049D">
              <w:rPr>
                <w:b/>
                <w:color w:val="000000"/>
                <w:sz w:val="27"/>
                <w:szCs w:val="27"/>
              </w:rPr>
              <w:t> </w:t>
            </w:r>
            <w:r w:rsidR="0070049D">
              <w:rPr>
                <w:b/>
                <w:color w:val="000000"/>
                <w:sz w:val="27"/>
                <w:szCs w:val="27"/>
              </w:rPr>
              <w:t>46</w:t>
            </w:r>
            <w:r w:rsidR="00EB26B6" w:rsidRPr="0070049D">
              <w:rPr>
                <w:b/>
                <w:color w:val="000000"/>
                <w:sz w:val="27"/>
                <w:szCs w:val="27"/>
              </w:rPr>
              <w:t xml:space="preserve">3 </w:t>
            </w:r>
            <w:r w:rsidR="0070049D">
              <w:rPr>
                <w:b/>
                <w:color w:val="000000"/>
                <w:sz w:val="27"/>
                <w:szCs w:val="27"/>
              </w:rPr>
              <w:t>217</w:t>
            </w:r>
            <w:r w:rsidRPr="0070049D">
              <w:rPr>
                <w:b/>
                <w:color w:val="000000"/>
                <w:sz w:val="27"/>
                <w:szCs w:val="27"/>
              </w:rPr>
              <w:t>,</w:t>
            </w:r>
            <w:r w:rsidR="0070049D"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70049D" w:rsidP="00EB26B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</w:t>
            </w:r>
            <w:r w:rsidR="00045616" w:rsidRPr="0070049D">
              <w:rPr>
                <w:color w:val="000000"/>
                <w:sz w:val="27"/>
                <w:szCs w:val="27"/>
              </w:rPr>
              <w:t>,</w:t>
            </w:r>
            <w:r w:rsidR="00EB26B6" w:rsidRPr="0070049D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70049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045616" w:rsidRPr="0070049D" w:rsidTr="0070049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Pr="0070049D" w:rsidRDefault="00045616" w:rsidP="004754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70049D">
              <w:rPr>
                <w:color w:val="000000"/>
                <w:sz w:val="27"/>
                <w:szCs w:val="27"/>
              </w:rPr>
              <w:t xml:space="preserve">Расходы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616" w:rsidRPr="0070049D" w:rsidRDefault="0070049D" w:rsidP="00EB26B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0049D">
              <w:rPr>
                <w:color w:val="000000"/>
                <w:sz w:val="27"/>
                <w:szCs w:val="27"/>
              </w:rPr>
              <w:t>16 061 150,6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616" w:rsidRPr="0070049D" w:rsidRDefault="0070049D" w:rsidP="00EB26B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C6F11">
              <w:rPr>
                <w:color w:val="000000"/>
                <w:sz w:val="27"/>
                <w:szCs w:val="27"/>
              </w:rPr>
              <w:t>15 537 448,0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045616" w:rsidP="0070049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70049D">
              <w:rPr>
                <w:b/>
                <w:color w:val="000000"/>
                <w:sz w:val="27"/>
                <w:szCs w:val="27"/>
              </w:rPr>
              <w:t>1</w:t>
            </w:r>
            <w:r w:rsidR="0070049D">
              <w:rPr>
                <w:b/>
                <w:color w:val="000000"/>
                <w:sz w:val="27"/>
                <w:szCs w:val="27"/>
              </w:rPr>
              <w:t>5</w:t>
            </w:r>
            <w:r w:rsidR="00EB26B6" w:rsidRPr="0070049D">
              <w:rPr>
                <w:b/>
                <w:color w:val="000000"/>
                <w:sz w:val="27"/>
                <w:szCs w:val="27"/>
              </w:rPr>
              <w:t> </w:t>
            </w:r>
            <w:r w:rsidR="0070049D">
              <w:rPr>
                <w:b/>
                <w:color w:val="000000"/>
                <w:sz w:val="27"/>
                <w:szCs w:val="27"/>
              </w:rPr>
              <w:t>495</w:t>
            </w:r>
            <w:r w:rsidR="00EB26B6" w:rsidRPr="0070049D">
              <w:rPr>
                <w:b/>
                <w:color w:val="000000"/>
                <w:sz w:val="27"/>
                <w:szCs w:val="27"/>
              </w:rPr>
              <w:t> </w:t>
            </w:r>
            <w:r w:rsidR="0070049D">
              <w:rPr>
                <w:b/>
                <w:color w:val="000000"/>
                <w:sz w:val="27"/>
                <w:szCs w:val="27"/>
              </w:rPr>
              <w:t>414</w:t>
            </w:r>
            <w:r w:rsidR="00EB26B6" w:rsidRPr="0070049D">
              <w:rPr>
                <w:b/>
                <w:color w:val="000000"/>
                <w:sz w:val="27"/>
                <w:szCs w:val="27"/>
              </w:rPr>
              <w:t>,</w:t>
            </w:r>
            <w:r w:rsidR="0070049D">
              <w:rPr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70049D" w:rsidP="0070049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</w:t>
            </w:r>
            <w:r w:rsidR="00045616" w:rsidRPr="007004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EB26B6" w:rsidP="0070049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0049D">
              <w:rPr>
                <w:color w:val="000000"/>
                <w:sz w:val="27"/>
                <w:szCs w:val="27"/>
              </w:rPr>
              <w:t>99,</w:t>
            </w:r>
            <w:r w:rsidR="0070049D">
              <w:rPr>
                <w:color w:val="000000"/>
                <w:sz w:val="27"/>
                <w:szCs w:val="27"/>
              </w:rPr>
              <w:t>7</w:t>
            </w:r>
          </w:p>
        </w:tc>
      </w:tr>
      <w:tr w:rsidR="00045616" w:rsidRPr="002E67B2" w:rsidTr="0070049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Pr="0070049D" w:rsidRDefault="004754D7" w:rsidP="004754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Дефицит </w:t>
            </w:r>
            <w:r w:rsidR="00045616" w:rsidRPr="0070049D">
              <w:rPr>
                <w:color w:val="000000"/>
                <w:sz w:val="27"/>
                <w:szCs w:val="27"/>
              </w:rPr>
              <w:t xml:space="preserve">(-), профицит (+)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0049D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70049D" w:rsidP="00EB26B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70049D">
              <w:rPr>
                <w:color w:val="000000"/>
                <w:sz w:val="27"/>
                <w:szCs w:val="27"/>
              </w:rPr>
              <w:t>70 324,3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70049D" w:rsidP="00EB26B6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- 32 197,2</w:t>
            </w:r>
            <w:r w:rsidR="00045616" w:rsidRPr="0070049D">
              <w:rPr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0049D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16" w:rsidRPr="0070049D" w:rsidRDefault="000456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0049D"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FA5875" w:rsidRDefault="00FA5875" w:rsidP="003411E3">
      <w:pPr>
        <w:spacing w:after="0" w:line="360" w:lineRule="auto"/>
        <w:ind w:firstLine="708"/>
        <w:jc w:val="both"/>
        <w:rPr>
          <w:sz w:val="27"/>
          <w:szCs w:val="27"/>
        </w:rPr>
      </w:pPr>
    </w:p>
    <w:p w:rsidR="00045616" w:rsidRPr="005014C4" w:rsidRDefault="00D4668A" w:rsidP="003411E3">
      <w:pPr>
        <w:spacing w:after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</w:t>
      </w:r>
      <w:r w:rsidR="001A3719">
        <w:rPr>
          <w:sz w:val="27"/>
          <w:szCs w:val="27"/>
        </w:rPr>
        <w:t xml:space="preserve">актическое исполнение доходной части бюджета Фонда за 2017 год составило </w:t>
      </w:r>
      <w:r w:rsidR="0070049D" w:rsidRPr="005014C4">
        <w:rPr>
          <w:sz w:val="27"/>
          <w:szCs w:val="27"/>
        </w:rPr>
        <w:t xml:space="preserve">100 </w:t>
      </w:r>
      <w:r w:rsidR="00045616" w:rsidRPr="005014C4">
        <w:rPr>
          <w:sz w:val="27"/>
          <w:szCs w:val="27"/>
        </w:rPr>
        <w:t xml:space="preserve">% к </w:t>
      </w:r>
      <w:r w:rsidR="003513DC">
        <w:rPr>
          <w:sz w:val="27"/>
          <w:szCs w:val="27"/>
        </w:rPr>
        <w:t xml:space="preserve">уточнённому </w:t>
      </w:r>
      <w:r w:rsidR="00045616" w:rsidRPr="005014C4">
        <w:rPr>
          <w:sz w:val="27"/>
          <w:szCs w:val="27"/>
        </w:rPr>
        <w:t xml:space="preserve">плану, исполнение расходной части – </w:t>
      </w:r>
      <w:r w:rsidR="00EB26B6" w:rsidRPr="005014C4">
        <w:rPr>
          <w:sz w:val="27"/>
          <w:szCs w:val="27"/>
        </w:rPr>
        <w:t>99,</w:t>
      </w:r>
      <w:r w:rsidR="0070049D" w:rsidRPr="005014C4">
        <w:rPr>
          <w:sz w:val="27"/>
          <w:szCs w:val="27"/>
        </w:rPr>
        <w:t xml:space="preserve">7 </w:t>
      </w:r>
      <w:r w:rsidR="00045616" w:rsidRPr="005014C4">
        <w:rPr>
          <w:sz w:val="27"/>
          <w:szCs w:val="27"/>
        </w:rPr>
        <w:t>%.</w:t>
      </w:r>
    </w:p>
    <w:p w:rsidR="007F5DBE" w:rsidRDefault="00646416" w:rsidP="007F5DBE">
      <w:pPr>
        <w:spacing w:after="0" w:line="360" w:lineRule="auto"/>
        <w:ind w:right="23" w:firstLine="567"/>
        <w:jc w:val="both"/>
        <w:rPr>
          <w:b/>
          <w:color w:val="000000"/>
          <w:sz w:val="27"/>
          <w:szCs w:val="27"/>
        </w:rPr>
      </w:pPr>
      <w:r w:rsidRPr="0037144C">
        <w:rPr>
          <w:color w:val="000000"/>
          <w:sz w:val="27"/>
          <w:szCs w:val="27"/>
        </w:rPr>
        <w:t xml:space="preserve"> Доходная часть бюджета Фонда, сложившаяся в сумме </w:t>
      </w:r>
      <w:r w:rsidR="009C6A0F" w:rsidRPr="0037144C">
        <w:rPr>
          <w:color w:val="000000"/>
          <w:sz w:val="27"/>
          <w:szCs w:val="27"/>
        </w:rPr>
        <w:t>15 463 217,1</w:t>
      </w:r>
      <w:r w:rsidRPr="0037144C">
        <w:rPr>
          <w:color w:val="000000"/>
          <w:sz w:val="27"/>
          <w:szCs w:val="27"/>
        </w:rPr>
        <w:t xml:space="preserve"> тыс. рублей, превысила уровень доходов 201</w:t>
      </w:r>
      <w:r w:rsidR="005014C4" w:rsidRPr="0037144C">
        <w:rPr>
          <w:color w:val="000000"/>
          <w:sz w:val="27"/>
          <w:szCs w:val="27"/>
        </w:rPr>
        <w:t>6</w:t>
      </w:r>
      <w:r w:rsidRPr="0037144C">
        <w:rPr>
          <w:color w:val="000000"/>
          <w:sz w:val="27"/>
          <w:szCs w:val="27"/>
        </w:rPr>
        <w:t xml:space="preserve"> года</w:t>
      </w:r>
      <w:r w:rsidR="009C6A0F" w:rsidRPr="0037144C">
        <w:rPr>
          <w:color w:val="000000"/>
          <w:sz w:val="27"/>
          <w:szCs w:val="27"/>
        </w:rPr>
        <w:t xml:space="preserve"> на 759 739,1 тыс.</w:t>
      </w:r>
      <w:r w:rsidR="00C75C07">
        <w:rPr>
          <w:color w:val="000000"/>
          <w:sz w:val="27"/>
          <w:szCs w:val="27"/>
        </w:rPr>
        <w:t xml:space="preserve"> руб., или</w:t>
      </w:r>
      <w:r w:rsidRPr="0037144C">
        <w:rPr>
          <w:color w:val="000000"/>
          <w:sz w:val="27"/>
          <w:szCs w:val="27"/>
        </w:rPr>
        <w:t xml:space="preserve"> </w:t>
      </w:r>
      <w:r w:rsidR="007F5DBE">
        <w:rPr>
          <w:color w:val="000000"/>
          <w:sz w:val="27"/>
          <w:szCs w:val="27"/>
        </w:rPr>
        <w:t xml:space="preserve">            </w:t>
      </w:r>
      <w:r w:rsidRPr="0037144C">
        <w:rPr>
          <w:color w:val="000000"/>
          <w:sz w:val="27"/>
          <w:szCs w:val="27"/>
        </w:rPr>
        <w:t xml:space="preserve">на </w:t>
      </w:r>
      <w:r w:rsidR="00BB371B" w:rsidRPr="0037144C">
        <w:rPr>
          <w:color w:val="000000"/>
          <w:sz w:val="27"/>
          <w:szCs w:val="27"/>
        </w:rPr>
        <w:t>5</w:t>
      </w:r>
      <w:r w:rsidRPr="0037144C">
        <w:rPr>
          <w:color w:val="000000"/>
          <w:sz w:val="27"/>
          <w:szCs w:val="27"/>
        </w:rPr>
        <w:t>,</w:t>
      </w:r>
      <w:r w:rsidR="009C6A0F" w:rsidRPr="0037144C">
        <w:rPr>
          <w:color w:val="000000"/>
          <w:sz w:val="27"/>
          <w:szCs w:val="27"/>
        </w:rPr>
        <w:t>2</w:t>
      </w:r>
      <w:r w:rsidRPr="0037144C">
        <w:rPr>
          <w:color w:val="000000"/>
          <w:sz w:val="27"/>
          <w:szCs w:val="27"/>
        </w:rPr>
        <w:t>%.</w:t>
      </w:r>
      <w:r w:rsidRPr="002C7025">
        <w:rPr>
          <w:b/>
          <w:color w:val="000000"/>
          <w:sz w:val="27"/>
          <w:szCs w:val="27"/>
        </w:rPr>
        <w:t xml:space="preserve"> </w:t>
      </w:r>
    </w:p>
    <w:p w:rsidR="007F5DBE" w:rsidRDefault="007F5DBE" w:rsidP="007F5DBE">
      <w:pPr>
        <w:spacing w:after="0" w:line="360" w:lineRule="auto"/>
        <w:ind w:right="23" w:firstLine="567"/>
        <w:jc w:val="both"/>
        <w:rPr>
          <w:sz w:val="27"/>
          <w:szCs w:val="27"/>
        </w:rPr>
      </w:pPr>
      <w:r w:rsidRPr="005F16C7">
        <w:rPr>
          <w:sz w:val="27"/>
          <w:szCs w:val="27"/>
        </w:rPr>
        <w:t>Наибольший удельный вес в общем объёме доходов составили межбюджетные трансферты, передаваемые бюджетам государственных внебюджетных фондов</w:t>
      </w:r>
      <w:r w:rsidRPr="009D36C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сумме </w:t>
      </w:r>
      <w:r w:rsidRPr="005F16C7">
        <w:rPr>
          <w:sz w:val="27"/>
          <w:szCs w:val="27"/>
        </w:rPr>
        <w:t>15 3</w:t>
      </w:r>
      <w:r>
        <w:rPr>
          <w:sz w:val="27"/>
          <w:szCs w:val="27"/>
        </w:rPr>
        <w:t>60</w:t>
      </w:r>
      <w:r w:rsidRPr="005F16C7">
        <w:rPr>
          <w:sz w:val="27"/>
          <w:szCs w:val="27"/>
        </w:rPr>
        <w:t> </w:t>
      </w:r>
      <w:r>
        <w:rPr>
          <w:sz w:val="27"/>
          <w:szCs w:val="27"/>
        </w:rPr>
        <w:t>843</w:t>
      </w:r>
      <w:r w:rsidRPr="005F16C7">
        <w:rPr>
          <w:sz w:val="27"/>
          <w:szCs w:val="27"/>
        </w:rPr>
        <w:t xml:space="preserve">,1 тыс. </w:t>
      </w:r>
      <w:r w:rsidRPr="007F5DBE">
        <w:rPr>
          <w:sz w:val="27"/>
          <w:szCs w:val="27"/>
        </w:rPr>
        <w:t>рублей (темп роста к 2016 году – 104,6 %).</w:t>
      </w:r>
      <w:r>
        <w:rPr>
          <w:sz w:val="27"/>
          <w:szCs w:val="27"/>
        </w:rPr>
        <w:t xml:space="preserve"> </w:t>
      </w:r>
    </w:p>
    <w:p w:rsidR="00821EB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 w:rsidRPr="005E7087">
        <w:rPr>
          <w:sz w:val="27"/>
          <w:szCs w:val="27"/>
        </w:rPr>
        <w:t>Положительная динамика роста доходов обусловлена увеличением безвозмездных поступлений от других бюджетов бюджетной системы Р</w:t>
      </w:r>
      <w:r>
        <w:rPr>
          <w:sz w:val="27"/>
          <w:szCs w:val="27"/>
        </w:rPr>
        <w:t xml:space="preserve">оссийской </w:t>
      </w:r>
      <w:r w:rsidRPr="005E7087">
        <w:rPr>
          <w:sz w:val="27"/>
          <w:szCs w:val="27"/>
        </w:rPr>
        <w:t>Ф</w:t>
      </w:r>
      <w:r>
        <w:rPr>
          <w:sz w:val="27"/>
          <w:szCs w:val="27"/>
        </w:rPr>
        <w:t>едерации</w:t>
      </w:r>
      <w:r w:rsidRPr="005E7087">
        <w:rPr>
          <w:sz w:val="27"/>
          <w:szCs w:val="27"/>
        </w:rPr>
        <w:t xml:space="preserve"> на сумму 669 613,8 тыс. руб. (на 4,6%). </w:t>
      </w:r>
    </w:p>
    <w:p w:rsidR="005E7087" w:rsidRPr="005E708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 w:rsidRPr="005E7087">
        <w:rPr>
          <w:sz w:val="27"/>
          <w:szCs w:val="27"/>
        </w:rPr>
        <w:t xml:space="preserve">Вместе с тем, </w:t>
      </w:r>
      <w:r w:rsidR="00821EB7">
        <w:rPr>
          <w:sz w:val="27"/>
          <w:szCs w:val="27"/>
        </w:rPr>
        <w:t xml:space="preserve">в заключении Государственного контрольного комитета Удмуртской Республики отмечено неисполнение </w:t>
      </w:r>
      <w:r w:rsidR="00821EB7" w:rsidRPr="005E7087">
        <w:rPr>
          <w:sz w:val="27"/>
          <w:szCs w:val="27"/>
        </w:rPr>
        <w:t xml:space="preserve">доходов на общую сумму </w:t>
      </w:r>
      <w:r w:rsidR="00821EB7">
        <w:rPr>
          <w:sz w:val="27"/>
          <w:szCs w:val="27"/>
        </w:rPr>
        <w:t xml:space="preserve">                     </w:t>
      </w:r>
      <w:r w:rsidR="00821EB7" w:rsidRPr="005E7087">
        <w:rPr>
          <w:sz w:val="27"/>
          <w:szCs w:val="27"/>
        </w:rPr>
        <w:t>3 906,6 тыс. руб</w:t>
      </w:r>
      <w:r w:rsidR="00821EB7">
        <w:rPr>
          <w:sz w:val="27"/>
          <w:szCs w:val="27"/>
        </w:rPr>
        <w:t>лей</w:t>
      </w:r>
      <w:r w:rsidR="00821EB7" w:rsidRPr="005E7087">
        <w:rPr>
          <w:sz w:val="27"/>
          <w:szCs w:val="27"/>
        </w:rPr>
        <w:t xml:space="preserve"> </w:t>
      </w:r>
      <w:r w:rsidR="00821EB7">
        <w:rPr>
          <w:sz w:val="27"/>
          <w:szCs w:val="27"/>
        </w:rPr>
        <w:t>относительно</w:t>
      </w:r>
      <w:r w:rsidRPr="005E7087">
        <w:rPr>
          <w:sz w:val="27"/>
          <w:szCs w:val="27"/>
        </w:rPr>
        <w:t xml:space="preserve"> уточн</w:t>
      </w:r>
      <w:r w:rsidR="00821EB7">
        <w:rPr>
          <w:sz w:val="27"/>
          <w:szCs w:val="27"/>
        </w:rPr>
        <w:t>ё</w:t>
      </w:r>
      <w:r w:rsidRPr="005E7087">
        <w:rPr>
          <w:sz w:val="27"/>
          <w:szCs w:val="27"/>
        </w:rPr>
        <w:t xml:space="preserve">нного плана </w:t>
      </w:r>
      <w:r w:rsidR="00821EB7">
        <w:rPr>
          <w:sz w:val="27"/>
          <w:szCs w:val="27"/>
        </w:rPr>
        <w:t xml:space="preserve">на 2017 год, </w:t>
      </w:r>
      <w:r w:rsidR="00B71D0D">
        <w:rPr>
          <w:sz w:val="27"/>
          <w:szCs w:val="27"/>
        </w:rPr>
        <w:t>в том числе</w:t>
      </w:r>
      <w:r w:rsidR="00821EB7">
        <w:rPr>
          <w:sz w:val="27"/>
          <w:szCs w:val="27"/>
        </w:rPr>
        <w:t>:</w:t>
      </w:r>
    </w:p>
    <w:p w:rsidR="005E7087" w:rsidRPr="005E7087" w:rsidRDefault="00821EB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52511E">
        <w:rPr>
          <w:sz w:val="27"/>
          <w:szCs w:val="27"/>
        </w:rPr>
        <w:t>н</w:t>
      </w:r>
      <w:r w:rsidR="005E7087" w:rsidRPr="005E7087">
        <w:rPr>
          <w:sz w:val="27"/>
          <w:szCs w:val="27"/>
        </w:rPr>
        <w:t xml:space="preserve">едовыполнение </w:t>
      </w:r>
      <w:r>
        <w:rPr>
          <w:sz w:val="27"/>
          <w:szCs w:val="27"/>
        </w:rPr>
        <w:t xml:space="preserve">показателей уточнённого плана по доходам на общую сумму </w:t>
      </w:r>
      <w:r w:rsidR="005E7087" w:rsidRPr="005E7087">
        <w:rPr>
          <w:sz w:val="27"/>
          <w:szCs w:val="27"/>
        </w:rPr>
        <w:t>19 005,6 тыс. руб</w:t>
      </w:r>
      <w:r>
        <w:rPr>
          <w:sz w:val="27"/>
          <w:szCs w:val="27"/>
        </w:rPr>
        <w:t xml:space="preserve">лей </w:t>
      </w:r>
      <w:r w:rsidR="005E7087" w:rsidRPr="005E7087">
        <w:rPr>
          <w:sz w:val="27"/>
          <w:szCs w:val="27"/>
        </w:rPr>
        <w:t>по следующим видам доходов:</w:t>
      </w:r>
    </w:p>
    <w:p w:rsidR="005E7087" w:rsidRPr="005E708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 w:rsidRPr="005E7087">
        <w:rPr>
          <w:sz w:val="27"/>
          <w:szCs w:val="27"/>
        </w:rPr>
        <w:t xml:space="preserve">- прочие доходы от компенсации затрат бюджетов территориальных                 фондов обязательного медицинского </w:t>
      </w:r>
      <w:proofErr w:type="gramStart"/>
      <w:r w:rsidRPr="005E7087">
        <w:rPr>
          <w:sz w:val="27"/>
          <w:szCs w:val="27"/>
        </w:rPr>
        <w:t>страхования  на</w:t>
      </w:r>
      <w:proofErr w:type="gramEnd"/>
      <w:r w:rsidRPr="005E7087">
        <w:rPr>
          <w:sz w:val="27"/>
          <w:szCs w:val="27"/>
        </w:rPr>
        <w:t xml:space="preserve"> </w:t>
      </w:r>
      <w:r w:rsidR="00B71D0D">
        <w:rPr>
          <w:sz w:val="27"/>
          <w:szCs w:val="27"/>
        </w:rPr>
        <w:t xml:space="preserve"> сумму </w:t>
      </w:r>
      <w:r w:rsidRPr="005E7087">
        <w:rPr>
          <w:sz w:val="27"/>
          <w:szCs w:val="27"/>
        </w:rPr>
        <w:t xml:space="preserve">4 605,4 тыс. руб.; </w:t>
      </w:r>
    </w:p>
    <w:p w:rsidR="005E7087" w:rsidRPr="005E708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 w:rsidRPr="005E7087">
        <w:rPr>
          <w:sz w:val="27"/>
          <w:szCs w:val="27"/>
        </w:rPr>
        <w:t xml:space="preserve"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    бюджеты территориальных фондов обязательного медицинского страхования            на </w:t>
      </w:r>
      <w:r w:rsidR="00B71D0D">
        <w:rPr>
          <w:sz w:val="27"/>
          <w:szCs w:val="27"/>
        </w:rPr>
        <w:t xml:space="preserve">сумму </w:t>
      </w:r>
      <w:r w:rsidRPr="005E7087">
        <w:rPr>
          <w:sz w:val="27"/>
          <w:szCs w:val="27"/>
        </w:rPr>
        <w:t>0,2 тыс. руб.;</w:t>
      </w:r>
    </w:p>
    <w:p w:rsidR="005E7087" w:rsidRPr="005E708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 w:rsidRPr="005E7087">
        <w:rPr>
          <w:sz w:val="27"/>
          <w:szCs w:val="27"/>
        </w:rPr>
        <w:t xml:space="preserve">- межбюджетные трансферты, передаваемые бюджетам территориальных фондов обязательного медицинского страхования на осуществление                         единовременных выплат медицинским работникам </w:t>
      </w:r>
      <w:r w:rsidR="00B71D0D">
        <w:rPr>
          <w:sz w:val="27"/>
          <w:szCs w:val="27"/>
        </w:rPr>
        <w:t xml:space="preserve">на сумму </w:t>
      </w:r>
      <w:r w:rsidR="000F4834">
        <w:rPr>
          <w:sz w:val="27"/>
          <w:szCs w:val="27"/>
        </w:rPr>
        <w:t>14 400,0 тыс. рублей</w:t>
      </w:r>
      <w:r w:rsidRPr="005E7087">
        <w:rPr>
          <w:sz w:val="27"/>
          <w:szCs w:val="27"/>
        </w:rPr>
        <w:t xml:space="preserve">. </w:t>
      </w:r>
    </w:p>
    <w:p w:rsidR="005E7087" w:rsidRPr="005E7087" w:rsidRDefault="0052511E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B71D0D">
        <w:rPr>
          <w:sz w:val="27"/>
          <w:szCs w:val="27"/>
        </w:rPr>
        <w:t xml:space="preserve">) </w:t>
      </w:r>
      <w:r>
        <w:rPr>
          <w:sz w:val="27"/>
          <w:szCs w:val="27"/>
        </w:rPr>
        <w:t>с</w:t>
      </w:r>
      <w:r w:rsidR="005E7087" w:rsidRPr="005E7087">
        <w:rPr>
          <w:sz w:val="27"/>
          <w:szCs w:val="27"/>
        </w:rPr>
        <w:t xml:space="preserve">верх уточненного плана в 2017 году поступило доходов в сумме </w:t>
      </w:r>
      <w:r w:rsidR="00B71D0D">
        <w:rPr>
          <w:sz w:val="27"/>
          <w:szCs w:val="27"/>
        </w:rPr>
        <w:t xml:space="preserve">                  </w:t>
      </w:r>
      <w:r w:rsidR="005E7087" w:rsidRPr="005E7087">
        <w:rPr>
          <w:sz w:val="27"/>
          <w:szCs w:val="27"/>
        </w:rPr>
        <w:t>15 143,0 тыс. руб</w:t>
      </w:r>
      <w:r w:rsidR="005E7087">
        <w:rPr>
          <w:sz w:val="27"/>
          <w:szCs w:val="27"/>
        </w:rPr>
        <w:t>лей</w:t>
      </w:r>
      <w:r w:rsidR="005E7087" w:rsidRPr="005E7087">
        <w:rPr>
          <w:sz w:val="27"/>
          <w:szCs w:val="27"/>
        </w:rPr>
        <w:t xml:space="preserve"> по следующим видам:</w:t>
      </w:r>
    </w:p>
    <w:p w:rsidR="005E7087" w:rsidRPr="005E708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 w:rsidRPr="005E7087">
        <w:rPr>
          <w:sz w:val="27"/>
          <w:szCs w:val="27"/>
        </w:rPr>
        <w:t xml:space="preserve"> денежные взыскания (штрафы) и </w:t>
      </w:r>
      <w:r w:rsidR="000F4834">
        <w:rPr>
          <w:sz w:val="27"/>
          <w:szCs w:val="27"/>
        </w:rPr>
        <w:t xml:space="preserve">иные суммы, взыскиваемые с </w:t>
      </w:r>
      <w:proofErr w:type="gramStart"/>
      <w:r w:rsidR="000F4834">
        <w:rPr>
          <w:sz w:val="27"/>
          <w:szCs w:val="27"/>
        </w:rPr>
        <w:t>лиц,</w:t>
      </w:r>
      <w:r w:rsidRPr="005E7087">
        <w:rPr>
          <w:sz w:val="27"/>
          <w:szCs w:val="27"/>
        </w:rPr>
        <w:t xml:space="preserve">   </w:t>
      </w:r>
      <w:proofErr w:type="gramEnd"/>
      <w:r w:rsidRPr="005E7087">
        <w:rPr>
          <w:sz w:val="27"/>
          <w:szCs w:val="27"/>
        </w:rPr>
        <w:t xml:space="preserve">         виновных в совершении преступлений, и в возмещение ущерба имуществу,            зачисляемые в бюджеты территориальных фондов обязательного медицинского страхования - 1 369,3 тыс. руб.;  </w:t>
      </w:r>
    </w:p>
    <w:p w:rsidR="005E7087" w:rsidRPr="005E708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 w:rsidRPr="005E7087">
        <w:rPr>
          <w:sz w:val="27"/>
          <w:szCs w:val="27"/>
        </w:rPr>
        <w:t xml:space="preserve"> денежные взыскания, налагаемые в возмещение ущерба, причиненного                 в результате незаконного или нецелевого использования бюджетных средств             </w:t>
      </w:r>
      <w:proofErr w:type="gramStart"/>
      <w:r w:rsidRPr="005E7087">
        <w:rPr>
          <w:sz w:val="27"/>
          <w:szCs w:val="27"/>
        </w:rPr>
        <w:t xml:space="preserve">   (</w:t>
      </w:r>
      <w:proofErr w:type="gramEnd"/>
      <w:r w:rsidRPr="005E7087">
        <w:rPr>
          <w:sz w:val="27"/>
          <w:szCs w:val="27"/>
        </w:rPr>
        <w:t xml:space="preserve">в части территориальных фондов обязательного медицинского страхования) </w:t>
      </w:r>
      <w:r>
        <w:rPr>
          <w:sz w:val="27"/>
          <w:szCs w:val="27"/>
        </w:rPr>
        <w:t xml:space="preserve">–              </w:t>
      </w:r>
      <w:r w:rsidRPr="005E7087">
        <w:rPr>
          <w:sz w:val="27"/>
          <w:szCs w:val="27"/>
        </w:rPr>
        <w:t xml:space="preserve"> 1 583,9 тыс. руб.;</w:t>
      </w:r>
    </w:p>
    <w:p w:rsidR="005E7087" w:rsidRPr="005E708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 w:rsidRPr="005E7087">
        <w:rPr>
          <w:sz w:val="27"/>
          <w:szCs w:val="27"/>
        </w:rPr>
        <w:t xml:space="preserve"> прочие поступления от денежных взысканий (штрафов) и иных сумм              в возмещение ущерба, зачисляемые в бюджеты территориальных фондов                     обязательного медицинского страхования </w:t>
      </w:r>
      <w:r>
        <w:rPr>
          <w:sz w:val="27"/>
          <w:szCs w:val="27"/>
        </w:rPr>
        <w:t>–</w:t>
      </w:r>
      <w:r w:rsidRPr="005E7087">
        <w:rPr>
          <w:sz w:val="27"/>
          <w:szCs w:val="27"/>
        </w:rPr>
        <w:t xml:space="preserve"> 1 646,4 тыс. руб.;</w:t>
      </w:r>
    </w:p>
    <w:p w:rsidR="005E7087" w:rsidRPr="005E708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 w:rsidRPr="005E7087">
        <w:rPr>
          <w:sz w:val="27"/>
          <w:szCs w:val="27"/>
        </w:rPr>
        <w:t xml:space="preserve"> прочие межбюджетные трансферты, передаваемые бюджетам                            территориальных фондов обязательного медицинского страхования </w:t>
      </w:r>
      <w:r>
        <w:rPr>
          <w:sz w:val="27"/>
          <w:szCs w:val="27"/>
        </w:rPr>
        <w:t>–</w:t>
      </w:r>
      <w:r w:rsidRPr="005E7087">
        <w:rPr>
          <w:sz w:val="27"/>
          <w:szCs w:val="27"/>
        </w:rPr>
        <w:t xml:space="preserve">      </w:t>
      </w:r>
      <w:r w:rsidR="00B71D0D">
        <w:rPr>
          <w:sz w:val="27"/>
          <w:szCs w:val="27"/>
        </w:rPr>
        <w:t xml:space="preserve">            10 496,3 тыс. руб.</w:t>
      </w:r>
      <w:r w:rsidRPr="005E7087">
        <w:rPr>
          <w:sz w:val="27"/>
          <w:szCs w:val="27"/>
        </w:rPr>
        <w:t>;</w:t>
      </w:r>
    </w:p>
    <w:p w:rsidR="005E7087" w:rsidRDefault="005E7087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r w:rsidRPr="005E7087">
        <w:rPr>
          <w:sz w:val="27"/>
          <w:szCs w:val="27"/>
        </w:rPr>
        <w:t xml:space="preserve"> 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 субсидий, субвенций и иных межбюджетных трансфертов, имеющих целевое назначение, прошлых лет </w:t>
      </w:r>
      <w:r>
        <w:rPr>
          <w:sz w:val="27"/>
          <w:szCs w:val="27"/>
        </w:rPr>
        <w:t>–</w:t>
      </w:r>
      <w:r w:rsidRPr="005E7087">
        <w:rPr>
          <w:sz w:val="27"/>
          <w:szCs w:val="27"/>
        </w:rPr>
        <w:t xml:space="preserve"> 47,1 тыс. руб.</w:t>
      </w:r>
    </w:p>
    <w:p w:rsidR="0052511E" w:rsidRDefault="0052511E" w:rsidP="005E7087">
      <w:pPr>
        <w:spacing w:after="0" w:line="360" w:lineRule="auto"/>
        <w:ind w:right="23" w:firstLine="567"/>
        <w:jc w:val="both"/>
        <w:rPr>
          <w:sz w:val="27"/>
          <w:szCs w:val="27"/>
        </w:rPr>
      </w:pPr>
      <w:r w:rsidRPr="000F4834">
        <w:rPr>
          <w:sz w:val="27"/>
          <w:szCs w:val="27"/>
        </w:rPr>
        <w:t xml:space="preserve">3) </w:t>
      </w:r>
      <w:r w:rsidR="00091CAE" w:rsidRPr="000F4834">
        <w:rPr>
          <w:sz w:val="27"/>
          <w:szCs w:val="27"/>
        </w:rPr>
        <w:t>Н</w:t>
      </w:r>
      <w:r w:rsidRPr="000F4834">
        <w:rPr>
          <w:sz w:val="27"/>
          <w:szCs w:val="27"/>
        </w:rPr>
        <w:t>а уменьшение общего объема поступлений в бюджет Фонда повлиял             возврат остатков субсидий и субвенций и иных межбюджетных трансфертов, имеющих целевое назначение, прошлых лет в бюджет ФФОМС из бюджетов                территориальных фондов обязательного медицинского страхования на общую сумму (-) 44,0 тыс. руб.</w:t>
      </w:r>
    </w:p>
    <w:p w:rsidR="00986EF5" w:rsidRPr="00986EF5" w:rsidRDefault="00986EF5" w:rsidP="005E7087">
      <w:pPr>
        <w:spacing w:after="0" w:line="360" w:lineRule="auto"/>
        <w:ind w:right="23" w:firstLine="567"/>
        <w:jc w:val="both"/>
        <w:rPr>
          <w:sz w:val="16"/>
          <w:szCs w:val="16"/>
        </w:rPr>
      </w:pPr>
    </w:p>
    <w:p w:rsidR="00146322" w:rsidRDefault="007A6B5A" w:rsidP="003411E3">
      <w:pPr>
        <w:pStyle w:val="a8"/>
        <w:spacing w:before="0" w:beforeAutospacing="0" w:after="0" w:afterAutospacing="0" w:line="360" w:lineRule="auto"/>
        <w:jc w:val="both"/>
        <w:rPr>
          <w:color w:val="FF0000"/>
          <w:sz w:val="27"/>
          <w:szCs w:val="27"/>
        </w:rPr>
      </w:pPr>
      <w:r w:rsidRPr="00194510">
        <w:rPr>
          <w:sz w:val="27"/>
          <w:szCs w:val="27"/>
        </w:rPr>
        <w:t xml:space="preserve">          </w:t>
      </w:r>
      <w:r w:rsidR="00146322" w:rsidRPr="00194510">
        <w:rPr>
          <w:sz w:val="27"/>
          <w:szCs w:val="27"/>
        </w:rPr>
        <w:t xml:space="preserve">Расходы Фонда в </w:t>
      </w:r>
      <w:r w:rsidR="00FB2404" w:rsidRPr="00194510">
        <w:rPr>
          <w:sz w:val="27"/>
          <w:szCs w:val="27"/>
        </w:rPr>
        <w:t>2017</w:t>
      </w:r>
      <w:r w:rsidR="00146322" w:rsidRPr="00194510">
        <w:rPr>
          <w:sz w:val="27"/>
          <w:szCs w:val="27"/>
        </w:rPr>
        <w:t xml:space="preserve"> году</w:t>
      </w:r>
      <w:r w:rsidR="00146322" w:rsidRPr="00194510">
        <w:rPr>
          <w:color w:val="FF0000"/>
          <w:sz w:val="27"/>
          <w:szCs w:val="27"/>
        </w:rPr>
        <w:t xml:space="preserve"> </w:t>
      </w:r>
      <w:r w:rsidR="00FB2404" w:rsidRPr="00194510">
        <w:rPr>
          <w:sz w:val="27"/>
          <w:szCs w:val="27"/>
        </w:rPr>
        <w:t xml:space="preserve">составили </w:t>
      </w:r>
      <w:r w:rsidR="00146322" w:rsidRPr="00194510">
        <w:rPr>
          <w:sz w:val="27"/>
          <w:szCs w:val="27"/>
        </w:rPr>
        <w:t>1</w:t>
      </w:r>
      <w:r w:rsidR="00D75440" w:rsidRPr="00194510">
        <w:rPr>
          <w:sz w:val="27"/>
          <w:szCs w:val="27"/>
        </w:rPr>
        <w:t>5</w:t>
      </w:r>
      <w:r w:rsidR="00750052" w:rsidRPr="00194510">
        <w:rPr>
          <w:sz w:val="27"/>
          <w:szCs w:val="27"/>
        </w:rPr>
        <w:t> </w:t>
      </w:r>
      <w:r w:rsidR="00D75440" w:rsidRPr="00194510">
        <w:rPr>
          <w:sz w:val="27"/>
          <w:szCs w:val="27"/>
        </w:rPr>
        <w:t>495</w:t>
      </w:r>
      <w:r w:rsidR="00750052" w:rsidRPr="00194510">
        <w:rPr>
          <w:sz w:val="27"/>
          <w:szCs w:val="27"/>
        </w:rPr>
        <w:t xml:space="preserve"> </w:t>
      </w:r>
      <w:r w:rsidR="00D75440" w:rsidRPr="00194510">
        <w:rPr>
          <w:sz w:val="27"/>
          <w:szCs w:val="27"/>
        </w:rPr>
        <w:t>414</w:t>
      </w:r>
      <w:r w:rsidR="00146322" w:rsidRPr="00194510">
        <w:rPr>
          <w:sz w:val="27"/>
          <w:szCs w:val="27"/>
        </w:rPr>
        <w:t>,</w:t>
      </w:r>
      <w:r w:rsidR="00D75440" w:rsidRPr="00194510">
        <w:rPr>
          <w:sz w:val="27"/>
          <w:szCs w:val="27"/>
        </w:rPr>
        <w:t>3</w:t>
      </w:r>
      <w:r w:rsidR="00146322" w:rsidRPr="00194510">
        <w:rPr>
          <w:color w:val="FF0000"/>
          <w:sz w:val="27"/>
          <w:szCs w:val="27"/>
        </w:rPr>
        <w:t xml:space="preserve"> </w:t>
      </w:r>
      <w:r w:rsidR="00146322" w:rsidRPr="00194510">
        <w:rPr>
          <w:sz w:val="27"/>
          <w:szCs w:val="27"/>
        </w:rPr>
        <w:t>тыс. рублей, или</w:t>
      </w:r>
      <w:r w:rsidR="00146322" w:rsidRPr="00194510">
        <w:rPr>
          <w:color w:val="FF0000"/>
          <w:sz w:val="27"/>
          <w:szCs w:val="27"/>
        </w:rPr>
        <w:t xml:space="preserve"> </w:t>
      </w:r>
      <w:r w:rsidR="00750052" w:rsidRPr="00194510">
        <w:rPr>
          <w:sz w:val="27"/>
          <w:szCs w:val="27"/>
        </w:rPr>
        <w:t>99</w:t>
      </w:r>
      <w:r w:rsidR="00146322" w:rsidRPr="00194510">
        <w:rPr>
          <w:sz w:val="27"/>
          <w:szCs w:val="27"/>
        </w:rPr>
        <w:t>,</w:t>
      </w:r>
      <w:r w:rsidR="00D75440" w:rsidRPr="00194510">
        <w:rPr>
          <w:sz w:val="27"/>
          <w:szCs w:val="27"/>
        </w:rPr>
        <w:t xml:space="preserve">7 </w:t>
      </w:r>
      <w:r w:rsidR="00146322" w:rsidRPr="00194510">
        <w:rPr>
          <w:sz w:val="27"/>
          <w:szCs w:val="27"/>
        </w:rPr>
        <w:t>%</w:t>
      </w:r>
      <w:r w:rsidR="00146322" w:rsidRPr="00194510">
        <w:rPr>
          <w:color w:val="FF0000"/>
          <w:sz w:val="27"/>
          <w:szCs w:val="27"/>
        </w:rPr>
        <w:t xml:space="preserve"> </w:t>
      </w:r>
      <w:r w:rsidR="00D75440" w:rsidRPr="00194510">
        <w:rPr>
          <w:sz w:val="27"/>
          <w:szCs w:val="27"/>
        </w:rPr>
        <w:t xml:space="preserve">от </w:t>
      </w:r>
      <w:r w:rsidR="005A2967">
        <w:rPr>
          <w:sz w:val="27"/>
          <w:szCs w:val="27"/>
        </w:rPr>
        <w:t xml:space="preserve">сводной бюджетной росписи. </w:t>
      </w:r>
      <w:r w:rsidR="00146322" w:rsidRPr="00194510">
        <w:rPr>
          <w:sz w:val="27"/>
          <w:szCs w:val="27"/>
        </w:rPr>
        <w:t>По сравнению с 201</w:t>
      </w:r>
      <w:r w:rsidR="00194510" w:rsidRPr="00194510">
        <w:rPr>
          <w:sz w:val="27"/>
          <w:szCs w:val="27"/>
        </w:rPr>
        <w:t>6</w:t>
      </w:r>
      <w:r w:rsidR="00146322" w:rsidRPr="00194510">
        <w:rPr>
          <w:sz w:val="27"/>
          <w:szCs w:val="27"/>
        </w:rPr>
        <w:t xml:space="preserve"> годом </w:t>
      </w:r>
      <w:r w:rsidR="00B135B3">
        <w:rPr>
          <w:sz w:val="27"/>
          <w:szCs w:val="27"/>
        </w:rPr>
        <w:t xml:space="preserve">(14 682 841,7 тыс. рублей) </w:t>
      </w:r>
      <w:r w:rsidR="00146322" w:rsidRPr="00194510">
        <w:rPr>
          <w:sz w:val="27"/>
          <w:szCs w:val="27"/>
        </w:rPr>
        <w:t xml:space="preserve">расходы бюджета Фонда </w:t>
      </w:r>
      <w:r w:rsidR="00146322" w:rsidRPr="00036536">
        <w:rPr>
          <w:sz w:val="27"/>
          <w:szCs w:val="27"/>
        </w:rPr>
        <w:t>увеличились на</w:t>
      </w:r>
      <w:r w:rsidR="00146322" w:rsidRPr="00036536">
        <w:rPr>
          <w:color w:val="FF0000"/>
          <w:sz w:val="27"/>
          <w:szCs w:val="27"/>
        </w:rPr>
        <w:t xml:space="preserve"> </w:t>
      </w:r>
      <w:r w:rsidR="00194510" w:rsidRPr="00036536">
        <w:rPr>
          <w:sz w:val="27"/>
          <w:szCs w:val="27"/>
        </w:rPr>
        <w:t>5,5</w:t>
      </w:r>
      <w:r w:rsidR="00146322" w:rsidRPr="00036536">
        <w:rPr>
          <w:sz w:val="27"/>
          <w:szCs w:val="27"/>
        </w:rPr>
        <w:t>%.</w:t>
      </w:r>
      <w:r w:rsidR="00146322" w:rsidRPr="00036536">
        <w:rPr>
          <w:color w:val="FF0000"/>
          <w:sz w:val="27"/>
          <w:szCs w:val="27"/>
        </w:rPr>
        <w:t xml:space="preserve"> </w:t>
      </w:r>
    </w:p>
    <w:p w:rsidR="00B7734C" w:rsidRDefault="005A2967" w:rsidP="00091CAE">
      <w:pPr>
        <w:pStyle w:val="a8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ab/>
      </w:r>
      <w:r w:rsidR="00B7734C" w:rsidRPr="00B135B3">
        <w:rPr>
          <w:sz w:val="27"/>
          <w:szCs w:val="27"/>
        </w:rPr>
        <w:t xml:space="preserve">Анализ структуры расходной части бюджета Фонда показал, что </w:t>
      </w:r>
      <w:r w:rsidR="00B7734C" w:rsidRPr="00B135B3">
        <w:rPr>
          <w:rStyle w:val="a9"/>
          <w:b w:val="0"/>
          <w:sz w:val="27"/>
          <w:szCs w:val="27"/>
        </w:rPr>
        <w:t>наибольший удельный вес – 98,9% (15 495 414,3 тыс. рублей) приходится на расходы по реализации Территориальной программы обязательного медицинского страхования</w:t>
      </w:r>
      <w:r w:rsidR="00B7734C" w:rsidRPr="00B135B3">
        <w:rPr>
          <w:b/>
          <w:sz w:val="27"/>
          <w:szCs w:val="27"/>
        </w:rPr>
        <w:t xml:space="preserve"> </w:t>
      </w:r>
      <w:r w:rsidR="00B7734C" w:rsidRPr="00B135B3">
        <w:rPr>
          <w:sz w:val="27"/>
          <w:szCs w:val="27"/>
        </w:rPr>
        <w:t xml:space="preserve">(далее – Территориальная программа ОМС), которая была утверждена постановлением Правительства Удмуртской Республики УР от 30.12.2016 года № 564 (в редакции от 18.11.2017 года) в объёме </w:t>
      </w:r>
      <w:r w:rsidR="00525EB8">
        <w:rPr>
          <w:sz w:val="27"/>
          <w:szCs w:val="27"/>
        </w:rPr>
        <w:t xml:space="preserve">                               </w:t>
      </w:r>
      <w:r w:rsidR="00B7734C" w:rsidRPr="00B135B3">
        <w:rPr>
          <w:sz w:val="27"/>
          <w:szCs w:val="27"/>
        </w:rPr>
        <w:t>15 038 290,04 тыс. рублей.</w:t>
      </w:r>
      <w:r w:rsidR="00B7734C" w:rsidRPr="0078024D">
        <w:rPr>
          <w:sz w:val="27"/>
          <w:szCs w:val="27"/>
        </w:rPr>
        <w:t xml:space="preserve"> </w:t>
      </w:r>
    </w:p>
    <w:p w:rsidR="00B7734C" w:rsidRPr="00BA2909" w:rsidRDefault="00B7734C" w:rsidP="00B7734C">
      <w:pPr>
        <w:pStyle w:val="a8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A2909">
        <w:rPr>
          <w:sz w:val="27"/>
          <w:szCs w:val="27"/>
        </w:rPr>
        <w:t xml:space="preserve">Кассовые расходы на выполнение Территориальной программы ОМС в                   соответствии с заключенными договорами о финансовом обеспечении                      обязательного медицинского страхования в 2017 году составили                        14 625 518,8 тыс. руб., что выше уровня 2016 года на 714 291,2 тыс. руб.                       (в 2016 году - 13 911 227,6 тыс. руб.).       </w:t>
      </w:r>
    </w:p>
    <w:p w:rsidR="00A032E2" w:rsidRDefault="00A032E2" w:rsidP="00A032E2">
      <w:pPr>
        <w:spacing w:after="0" w:line="360" w:lineRule="auto"/>
        <w:ind w:firstLine="708"/>
        <w:jc w:val="both"/>
        <w:rPr>
          <w:sz w:val="27"/>
          <w:szCs w:val="27"/>
        </w:rPr>
      </w:pPr>
      <w:r w:rsidRPr="00E93198">
        <w:rPr>
          <w:sz w:val="27"/>
          <w:szCs w:val="27"/>
        </w:rPr>
        <w:t>Исполнени</w:t>
      </w:r>
      <w:r w:rsidR="00091CAE">
        <w:rPr>
          <w:sz w:val="27"/>
          <w:szCs w:val="27"/>
        </w:rPr>
        <w:t>е</w:t>
      </w:r>
      <w:r w:rsidRPr="00E93198">
        <w:rPr>
          <w:sz w:val="27"/>
          <w:szCs w:val="27"/>
        </w:rPr>
        <w:t xml:space="preserve"> расходной части бюджета Фонда в разрезе разделов бюджетной классификации расходов приведено в следующей таблице.</w:t>
      </w:r>
    </w:p>
    <w:p w:rsidR="00A032E2" w:rsidRDefault="00A032E2" w:rsidP="00A032E2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F95C47" w:rsidRDefault="00F95C47" w:rsidP="00A032E2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F95C47" w:rsidRDefault="00F95C47" w:rsidP="00A032E2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A032E2" w:rsidRPr="000E0F92" w:rsidRDefault="00A032E2" w:rsidP="00A032E2">
      <w:pPr>
        <w:spacing w:after="0" w:line="240" w:lineRule="auto"/>
        <w:jc w:val="right"/>
        <w:rPr>
          <w:rFonts w:eastAsia="Times New Roman"/>
          <w:sz w:val="27"/>
          <w:szCs w:val="27"/>
          <w:lang w:val="en-US" w:eastAsia="ru-RU"/>
        </w:rPr>
      </w:pPr>
      <w:r w:rsidRPr="000E0F92">
        <w:rPr>
          <w:rFonts w:eastAsia="Times New Roman"/>
          <w:bCs/>
          <w:sz w:val="27"/>
          <w:szCs w:val="27"/>
          <w:lang w:eastAsia="ru-RU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134"/>
        <w:gridCol w:w="851"/>
        <w:gridCol w:w="850"/>
      </w:tblGrid>
      <w:tr w:rsidR="00A032E2" w:rsidRPr="00FA5875" w:rsidTr="00A77FA0">
        <w:trPr>
          <w:trHeight w:val="345"/>
          <w:tblHeader/>
        </w:trPr>
        <w:tc>
          <w:tcPr>
            <w:tcW w:w="2552" w:type="dxa"/>
            <w:shd w:val="clear" w:color="auto" w:fill="auto"/>
            <w:vAlign w:val="center"/>
            <w:hideMark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Бюджет Фонда на 2017 год с учётом внесенных изменений </w:t>
            </w:r>
          </w:p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Исполнение бюджета Фонда за 2017 год</w:t>
            </w:r>
          </w:p>
        </w:tc>
        <w:tc>
          <w:tcPr>
            <w:tcW w:w="1417" w:type="dxa"/>
            <w:shd w:val="clear" w:color="auto" w:fill="auto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Исполнение бюджета Фонда за 2016 год</w:t>
            </w:r>
          </w:p>
        </w:tc>
        <w:tc>
          <w:tcPr>
            <w:tcW w:w="1134" w:type="dxa"/>
            <w:shd w:val="clear" w:color="auto" w:fill="auto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</w:p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2017 год к 2016 году,</w:t>
            </w:r>
          </w:p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откло</w:t>
            </w:r>
            <w:proofErr w:type="spellEnd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-нения</w:t>
            </w:r>
            <w:proofErr w:type="gramEnd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2017 год к 2016 году</w:t>
            </w:r>
          </w:p>
        </w:tc>
        <w:tc>
          <w:tcPr>
            <w:tcW w:w="850" w:type="dxa"/>
            <w:shd w:val="clear" w:color="auto" w:fill="auto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Про-цент</w:t>
            </w:r>
            <w:proofErr w:type="gramEnd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-нения </w:t>
            </w:r>
            <w:proofErr w:type="spellStart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бюд-жета</w:t>
            </w:r>
            <w:proofErr w:type="spellEnd"/>
            <w:r w:rsidRPr="002617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</w:tr>
      <w:tr w:rsidR="00A032E2" w:rsidRPr="0026171A" w:rsidTr="00A77FA0">
        <w:trPr>
          <w:trHeight w:val="345"/>
        </w:trPr>
        <w:tc>
          <w:tcPr>
            <w:tcW w:w="2552" w:type="dxa"/>
            <w:shd w:val="clear" w:color="auto" w:fill="auto"/>
            <w:vAlign w:val="center"/>
            <w:hideMark/>
          </w:tcPr>
          <w:p w:rsidR="00A032E2" w:rsidRPr="0026171A" w:rsidRDefault="00A032E2" w:rsidP="00A77FA0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125 623,3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117 388,7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114 671,7</w:t>
            </w:r>
          </w:p>
        </w:tc>
        <w:tc>
          <w:tcPr>
            <w:tcW w:w="1134" w:type="dxa"/>
            <w:shd w:val="clear" w:color="auto" w:fill="auto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2 717,0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102,4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93,4</w:t>
            </w:r>
          </w:p>
        </w:tc>
      </w:tr>
      <w:tr w:rsidR="00A032E2" w:rsidRPr="0026171A" w:rsidTr="00A77FA0">
        <w:trPr>
          <w:trHeight w:val="379"/>
        </w:trPr>
        <w:tc>
          <w:tcPr>
            <w:tcW w:w="2552" w:type="dxa"/>
            <w:shd w:val="clear" w:color="auto" w:fill="auto"/>
            <w:vAlign w:val="center"/>
            <w:hideMark/>
          </w:tcPr>
          <w:p w:rsidR="00A032E2" w:rsidRPr="0026171A" w:rsidRDefault="00A032E2" w:rsidP="00A77FA0">
            <w:pPr>
              <w:spacing w:before="120"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15 351 824,7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15 332 425,6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14 526 370,0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806 055,6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99,9</w:t>
            </w:r>
          </w:p>
        </w:tc>
      </w:tr>
      <w:tr w:rsidR="00A032E2" w:rsidRPr="0026171A" w:rsidTr="00B7734C">
        <w:trPr>
          <w:trHeight w:val="588"/>
        </w:trPr>
        <w:tc>
          <w:tcPr>
            <w:tcW w:w="2552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before="120"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sz w:val="22"/>
                <w:szCs w:val="22"/>
                <w:lang w:eastAsia="ru-RU"/>
              </w:rPr>
              <w:t>60 000,0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sz w:val="22"/>
                <w:szCs w:val="22"/>
                <w:lang w:eastAsia="ru-RU"/>
              </w:rPr>
              <w:t>45 600,0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sz w:val="22"/>
                <w:szCs w:val="22"/>
                <w:lang w:eastAsia="ru-RU"/>
              </w:rPr>
              <w:t>41 800,0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sz w:val="22"/>
                <w:szCs w:val="22"/>
                <w:lang w:eastAsia="ru-RU"/>
              </w:rPr>
              <w:t>3 800,0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sz w:val="22"/>
                <w:szCs w:val="22"/>
                <w:lang w:eastAsia="ru-RU"/>
              </w:rPr>
              <w:t>76,0</w:t>
            </w:r>
          </w:p>
        </w:tc>
      </w:tr>
      <w:tr w:rsidR="00A032E2" w:rsidRPr="0026171A" w:rsidTr="00A77FA0">
        <w:trPr>
          <w:trHeight w:val="345"/>
        </w:trPr>
        <w:tc>
          <w:tcPr>
            <w:tcW w:w="2552" w:type="dxa"/>
            <w:shd w:val="clear" w:color="auto" w:fill="auto"/>
            <w:vAlign w:val="center"/>
            <w:hideMark/>
          </w:tcPr>
          <w:p w:rsidR="00A032E2" w:rsidRPr="0026171A" w:rsidRDefault="00A032E2" w:rsidP="00A77FA0">
            <w:pPr>
              <w:spacing w:before="120"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/>
                <w:sz w:val="22"/>
                <w:szCs w:val="22"/>
                <w:lang w:eastAsia="ru-RU"/>
              </w:rPr>
              <w:t>15 537 448,0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/>
                <w:sz w:val="22"/>
                <w:szCs w:val="22"/>
                <w:lang w:eastAsia="ru-RU"/>
              </w:rPr>
              <w:t>15 495 414,3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/>
                <w:sz w:val="22"/>
                <w:szCs w:val="22"/>
                <w:lang w:eastAsia="ru-RU"/>
              </w:rPr>
              <w:t>14 682 841,7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/>
                <w:sz w:val="22"/>
                <w:szCs w:val="22"/>
                <w:lang w:eastAsia="ru-RU"/>
              </w:rPr>
              <w:t>812 572,6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32E2" w:rsidRPr="0026171A" w:rsidRDefault="00A032E2" w:rsidP="00A77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6171A">
              <w:rPr>
                <w:rFonts w:eastAsia="Times New Roman"/>
                <w:b/>
                <w:sz w:val="22"/>
                <w:szCs w:val="22"/>
                <w:lang w:eastAsia="ru-RU"/>
              </w:rPr>
              <w:t>99,7</w:t>
            </w:r>
          </w:p>
        </w:tc>
      </w:tr>
    </w:tbl>
    <w:p w:rsidR="000E0F92" w:rsidRDefault="00A032E2" w:rsidP="000E0F92">
      <w:pPr>
        <w:spacing w:after="0" w:line="360" w:lineRule="auto"/>
        <w:jc w:val="both"/>
        <w:rPr>
          <w:sz w:val="27"/>
          <w:szCs w:val="27"/>
        </w:rPr>
      </w:pPr>
      <w:r w:rsidRPr="00FA5875">
        <w:rPr>
          <w:sz w:val="27"/>
          <w:szCs w:val="27"/>
        </w:rPr>
        <w:t xml:space="preserve">  </w:t>
      </w:r>
    </w:p>
    <w:p w:rsidR="000E0F92" w:rsidRDefault="00146322" w:rsidP="000E0F92">
      <w:pPr>
        <w:spacing w:after="0" w:line="360" w:lineRule="auto"/>
        <w:jc w:val="both"/>
        <w:rPr>
          <w:sz w:val="27"/>
          <w:szCs w:val="27"/>
        </w:rPr>
      </w:pPr>
      <w:r w:rsidRPr="00036536">
        <w:rPr>
          <w:color w:val="FF0000"/>
          <w:sz w:val="27"/>
          <w:szCs w:val="27"/>
        </w:rPr>
        <w:t xml:space="preserve">          </w:t>
      </w:r>
      <w:r w:rsidR="000E0F92" w:rsidRPr="000E0F92">
        <w:rPr>
          <w:sz w:val="27"/>
          <w:szCs w:val="27"/>
        </w:rPr>
        <w:t>По подразделу 0113 «Другие общегосударственные расходы» на содержание Фонда направлено 117 388,7 тыс.</w:t>
      </w:r>
      <w:r w:rsidR="00B7734C">
        <w:rPr>
          <w:sz w:val="27"/>
          <w:szCs w:val="27"/>
        </w:rPr>
        <w:t xml:space="preserve"> руб</w:t>
      </w:r>
      <w:r w:rsidR="00416AB1">
        <w:rPr>
          <w:sz w:val="27"/>
          <w:szCs w:val="27"/>
        </w:rPr>
        <w:t>лей</w:t>
      </w:r>
      <w:r w:rsidR="00B7734C">
        <w:rPr>
          <w:sz w:val="27"/>
          <w:szCs w:val="27"/>
        </w:rPr>
        <w:t xml:space="preserve"> (в 2016 году - 114 671,7 тыс. руб.) или 93,4 % </w:t>
      </w:r>
      <w:r w:rsidR="000E0F92" w:rsidRPr="000E0F92">
        <w:rPr>
          <w:sz w:val="27"/>
          <w:szCs w:val="27"/>
        </w:rPr>
        <w:t>от уточненного плана (125 623,3 тыс. руб.) и составляет 0,8 % от полученных доходов.</w:t>
      </w:r>
    </w:p>
    <w:p w:rsidR="000E0F92" w:rsidRPr="000E0F92" w:rsidRDefault="000E0F92" w:rsidP="000E0F92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7734C" w:rsidRPr="00B7734C">
        <w:rPr>
          <w:sz w:val="27"/>
          <w:szCs w:val="27"/>
        </w:rPr>
        <w:t>Не исполнено бюджетных ассигн</w:t>
      </w:r>
      <w:r w:rsidR="00B7734C">
        <w:rPr>
          <w:sz w:val="27"/>
          <w:szCs w:val="27"/>
        </w:rPr>
        <w:t>ований в сумме 8 234,6 тыс. рублей</w:t>
      </w:r>
      <w:r w:rsidR="00B7734C" w:rsidRPr="00B7734C">
        <w:rPr>
          <w:sz w:val="27"/>
          <w:szCs w:val="27"/>
        </w:rPr>
        <w:t xml:space="preserve">, в связи с применением регрессивной шкалы налогообложения при начислении страховых взносов на фонд оплаты труда, экономии на командировочных расходах, экономией фонда оплаты труда в связи с временной нетрудоспособностью работников, за счет применения конкурентных способов определения поставщиков, исполнителей, подрядчиков при размещении государственного заказа, несостоявшихся закупок ввиду отсутствия заявок, в связи со списанием основных средств, а также по причине предоставления  </w:t>
      </w:r>
      <w:proofErr w:type="spellStart"/>
      <w:r w:rsidR="00B7734C" w:rsidRPr="00B7734C">
        <w:rPr>
          <w:sz w:val="27"/>
          <w:szCs w:val="27"/>
        </w:rPr>
        <w:t>ресурсоснабжающими</w:t>
      </w:r>
      <w:proofErr w:type="spellEnd"/>
      <w:r w:rsidR="00B7734C" w:rsidRPr="00B7734C">
        <w:rPr>
          <w:sz w:val="27"/>
          <w:szCs w:val="27"/>
        </w:rPr>
        <w:t xml:space="preserve"> организациями актов по оказанным коммунальным услугам за декабрь 2017 года  в январе 2018 года.</w:t>
      </w:r>
    </w:p>
    <w:p w:rsidR="00F95C47" w:rsidRPr="007A5137" w:rsidRDefault="007A5137" w:rsidP="00BA2909">
      <w:pPr>
        <w:pStyle w:val="a8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 w:rsidRPr="007A5137">
        <w:rPr>
          <w:sz w:val="27"/>
          <w:szCs w:val="27"/>
        </w:rPr>
        <w:t xml:space="preserve">Сравнительный анализ расходов Фонда по подразделу 0909 «Другие             вопросы в области здравоохранения» за </w:t>
      </w:r>
      <w:r w:rsidR="00BA2909">
        <w:rPr>
          <w:sz w:val="27"/>
          <w:szCs w:val="27"/>
        </w:rPr>
        <w:t xml:space="preserve">2016 - </w:t>
      </w:r>
      <w:r w:rsidRPr="007A5137">
        <w:rPr>
          <w:sz w:val="27"/>
          <w:szCs w:val="27"/>
        </w:rPr>
        <w:t>2017 год</w:t>
      </w:r>
      <w:r w:rsidR="00BA2909">
        <w:rPr>
          <w:sz w:val="27"/>
          <w:szCs w:val="27"/>
        </w:rPr>
        <w:t>ы</w:t>
      </w:r>
      <w:r w:rsidRPr="007A5137">
        <w:rPr>
          <w:sz w:val="27"/>
          <w:szCs w:val="27"/>
        </w:rPr>
        <w:t xml:space="preserve"> </w:t>
      </w:r>
      <w:r w:rsidR="00BA2909">
        <w:rPr>
          <w:sz w:val="27"/>
          <w:szCs w:val="27"/>
        </w:rPr>
        <w:t>приведё</w:t>
      </w:r>
      <w:r w:rsidRPr="007A5137">
        <w:rPr>
          <w:sz w:val="27"/>
          <w:szCs w:val="27"/>
        </w:rPr>
        <w:t>н в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111"/>
        <w:gridCol w:w="1497"/>
        <w:gridCol w:w="1497"/>
        <w:gridCol w:w="1563"/>
        <w:gridCol w:w="1465"/>
      </w:tblGrid>
      <w:tr w:rsidR="0070563A" w:rsidRPr="007A5137" w:rsidTr="0070563A">
        <w:trPr>
          <w:tblHeader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5137" w:rsidRPr="007A5137" w:rsidRDefault="0070563A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3A" w:rsidRDefault="0070563A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5137" w:rsidRPr="007A5137" w:rsidRDefault="007A5137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BA2909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>Расходы</w:t>
            </w:r>
            <w:r w:rsidR="007A5137"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2016</w:t>
            </w:r>
            <w:r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5137"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  <w:r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тыс. руб.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BA2909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>Расходы</w:t>
            </w:r>
          </w:p>
          <w:p w:rsidR="007A5137" w:rsidRPr="007A5137" w:rsidRDefault="007A5137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2017 год</w:t>
            </w:r>
            <w:r w:rsidR="00BA2909"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Отклонение 2017 год к 2016 году</w:t>
            </w:r>
            <w:r w:rsidR="00BA2909"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</w:p>
          <w:p w:rsidR="007A5137" w:rsidRPr="007A5137" w:rsidRDefault="00BA2909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Темп роста</w:t>
            </w:r>
            <w:r w:rsidR="00BA2909" w:rsidRPr="0070563A">
              <w:rPr>
                <w:rFonts w:eastAsia="Times New Roman"/>
                <w:b/>
                <w:sz w:val="24"/>
                <w:szCs w:val="24"/>
                <w:lang w:eastAsia="ru-RU"/>
              </w:rPr>
              <w:t>, %</w:t>
            </w:r>
          </w:p>
          <w:p w:rsidR="00BA2909" w:rsidRPr="007A5137" w:rsidRDefault="00BA2909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0563A" w:rsidRPr="007A5137" w:rsidTr="0070563A">
        <w:trPr>
          <w:tblHeader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1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1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51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BA2909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2909">
              <w:rPr>
                <w:rFonts w:eastAsia="Times New Roman"/>
                <w:sz w:val="20"/>
                <w:szCs w:val="20"/>
                <w:lang w:eastAsia="ru-RU"/>
              </w:rPr>
              <w:t>(гр.3 - гр.2)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BA2909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2909">
              <w:rPr>
                <w:rFonts w:eastAsia="Times New Roman"/>
                <w:sz w:val="20"/>
                <w:szCs w:val="20"/>
                <w:lang w:eastAsia="ru-RU"/>
              </w:rPr>
              <w:t>гр.3/гр.2*100</w:t>
            </w:r>
          </w:p>
        </w:tc>
      </w:tr>
      <w:tr w:rsidR="0070563A" w:rsidRPr="007A5137" w:rsidTr="00BA2909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A5137" w:rsidRPr="007A5137" w:rsidRDefault="007A5137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Расходы по подразделу 0909 «Другие вопросы в                  </w:t>
            </w:r>
          </w:p>
          <w:p w:rsidR="00BA2909" w:rsidRPr="00C75BA2" w:rsidRDefault="007A5137" w:rsidP="007A5137">
            <w:pPr>
              <w:spacing w:after="0" w:line="240" w:lineRule="auto"/>
              <w:ind w:right="2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области здравоохранения»</w:t>
            </w:r>
            <w:r w:rsidR="00BA2909" w:rsidRPr="00C75BA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всего</w:t>
            </w: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</w:p>
          <w:p w:rsidR="007A5137" w:rsidRPr="007A5137" w:rsidRDefault="007A5137" w:rsidP="00BA2909">
            <w:pPr>
              <w:spacing w:after="0" w:line="240" w:lineRule="auto"/>
              <w:ind w:right="2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в т</w:t>
            </w:r>
            <w:r w:rsidR="00BA2909" w:rsidRPr="00C75BA2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ом </w:t>
            </w: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ч</w:t>
            </w:r>
            <w:r w:rsidR="00BA2909" w:rsidRPr="00C75BA2">
              <w:rPr>
                <w:rFonts w:eastAsia="Times New Roman"/>
                <w:i/>
                <w:sz w:val="24"/>
                <w:szCs w:val="24"/>
                <w:lang w:eastAsia="ru-RU"/>
              </w:rPr>
              <w:t>исле</w:t>
            </w: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14 526 370,0</w:t>
            </w:r>
          </w:p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15 332 425,6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+806 055,6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105,5</w:t>
            </w:r>
          </w:p>
        </w:tc>
      </w:tr>
      <w:tr w:rsidR="0070563A" w:rsidRPr="007A5137" w:rsidTr="00BA2909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3A" w:rsidRDefault="007A5137" w:rsidP="00C75BA2">
            <w:pPr>
              <w:spacing w:after="0" w:line="240" w:lineRule="auto"/>
              <w:ind w:right="21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Расходы на реализацию Т</w:t>
            </w:r>
            <w:r w:rsidR="00C75BA2">
              <w:rPr>
                <w:rFonts w:eastAsia="Times New Roman"/>
                <w:sz w:val="24"/>
                <w:szCs w:val="24"/>
                <w:lang w:eastAsia="ru-RU"/>
              </w:rPr>
              <w:t xml:space="preserve">ерриториальной программы </w:t>
            </w:r>
            <w:r w:rsidRPr="007A5137">
              <w:rPr>
                <w:rFonts w:eastAsia="Times New Roman"/>
                <w:sz w:val="24"/>
                <w:szCs w:val="24"/>
                <w:lang w:eastAsia="ru-RU"/>
              </w:rPr>
              <w:t xml:space="preserve">ОМС, </w:t>
            </w:r>
          </w:p>
          <w:p w:rsidR="007A5137" w:rsidRPr="007A5137" w:rsidRDefault="007A5137" w:rsidP="00C75BA2">
            <w:pPr>
              <w:spacing w:after="0" w:line="240" w:lineRule="auto"/>
              <w:ind w:right="21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13 911 227,6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14 625 518,8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+714 291,2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70563A" w:rsidRPr="007A5137" w:rsidTr="00BA2909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-на ведение дела 6 страховых медицинских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133 658,8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142 730,9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+9 072,1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106,8</w:t>
            </w:r>
          </w:p>
        </w:tc>
      </w:tr>
      <w:tr w:rsidR="0070563A" w:rsidRPr="007A5137" w:rsidTr="00BA2909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оплату оказанной медицинской помощи </w:t>
            </w: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иногородним гражданам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199 421,3</w:t>
            </w:r>
          </w:p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245 392,2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+45 970,9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0563A" w:rsidRPr="007A5137" w:rsidTr="00BA2909">
        <w:trPr>
          <w:trHeight w:val="121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- количество пролеченных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62 375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65 640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+3 265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70563A" w:rsidRPr="007A5137" w:rsidTr="00BA2909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 xml:space="preserve">Расходы за медицинскую помощь, оказанную по обращениям в медицинские организации РФ граждан, застрахованных в УР - </w:t>
            </w:r>
            <w:r w:rsidRPr="007A5137">
              <w:rPr>
                <w:rFonts w:eastAsia="Times New Roman"/>
                <w:b/>
                <w:sz w:val="24"/>
                <w:szCs w:val="24"/>
                <w:lang w:eastAsia="ru-RU"/>
              </w:rPr>
              <w:t>в другие ТФОМС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372 763,4</w:t>
            </w:r>
          </w:p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highlight w:val="green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412 000,0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+39 236,6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70563A" w:rsidRPr="007A5137" w:rsidTr="00BA2909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- количество обращений граждан</w:t>
            </w:r>
          </w:p>
          <w:p w:rsidR="0070563A" w:rsidRPr="007A5137" w:rsidRDefault="0070563A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135 138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114 137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-21 001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84,4</w:t>
            </w:r>
          </w:p>
        </w:tc>
      </w:tr>
      <w:tr w:rsidR="0070563A" w:rsidRPr="007A5137" w:rsidTr="00BA2909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Расходы на проведение ремонта медицинского оборудования и приобретение медицинского оборудования за счет средств нормированного страхового запаса 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19 937,8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47 279,2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+27 341,4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увеличение</w:t>
            </w:r>
          </w:p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в 2,4 раза</w:t>
            </w:r>
          </w:p>
        </w:tc>
      </w:tr>
      <w:tr w:rsidR="0070563A" w:rsidRPr="007A5137" w:rsidTr="00BA2909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Расходы за оказанную в федеральных государственных учреждениях специализированную, в том числе высокотехнологичную медицинскую помощь, включенную в базовую программу ОМС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23 019,9</w:t>
            </w:r>
          </w:p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2 235,4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sz w:val="24"/>
                <w:szCs w:val="24"/>
                <w:lang w:eastAsia="ru-RU"/>
              </w:rPr>
              <w:t>-20 784,5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уменьшение в 10,3 раза</w:t>
            </w:r>
          </w:p>
        </w:tc>
      </w:tr>
      <w:tr w:rsidR="0070563A" w:rsidRPr="007A5137" w:rsidTr="00BA2909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7" w:rsidRP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-355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37" w:rsidRPr="007A5137" w:rsidRDefault="007A5137" w:rsidP="007A5137">
            <w:pPr>
              <w:spacing w:after="0" w:line="240" w:lineRule="auto"/>
              <w:ind w:right="21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уменьшение  10</w:t>
            </w:r>
            <w:proofErr w:type="gramEnd"/>
            <w:r w:rsidRPr="007A5137">
              <w:rPr>
                <w:rFonts w:eastAsia="Times New Roman"/>
                <w:i/>
                <w:sz w:val="24"/>
                <w:szCs w:val="24"/>
                <w:lang w:eastAsia="ru-RU"/>
              </w:rPr>
              <w:t>,6 раза</w:t>
            </w:r>
          </w:p>
        </w:tc>
      </w:tr>
    </w:tbl>
    <w:p w:rsidR="000561F9" w:rsidRDefault="000561F9" w:rsidP="007A5137">
      <w:pPr>
        <w:spacing w:after="0" w:line="240" w:lineRule="auto"/>
        <w:ind w:right="21" w:firstLine="567"/>
        <w:jc w:val="both"/>
        <w:rPr>
          <w:rFonts w:eastAsia="Times New Roman"/>
          <w:sz w:val="27"/>
          <w:szCs w:val="27"/>
          <w:lang w:eastAsia="ru-RU"/>
        </w:rPr>
      </w:pPr>
    </w:p>
    <w:p w:rsidR="007A5137" w:rsidRPr="007A5137" w:rsidRDefault="007A5137" w:rsidP="00D37689">
      <w:pPr>
        <w:pStyle w:val="a8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 w:rsidRPr="007A5137">
        <w:rPr>
          <w:sz w:val="27"/>
          <w:szCs w:val="27"/>
        </w:rPr>
        <w:t>Расходы по подразделу 0909 «Другие вопросы в области здравоохранения» по сравнению с аналогичным периодом 2016 года увеличились на                      806 055,6 тыс. руб</w:t>
      </w:r>
      <w:r w:rsidR="00D37689">
        <w:rPr>
          <w:sz w:val="27"/>
          <w:szCs w:val="27"/>
        </w:rPr>
        <w:t>лей</w:t>
      </w:r>
      <w:r w:rsidRPr="007A5137">
        <w:rPr>
          <w:sz w:val="27"/>
          <w:szCs w:val="27"/>
        </w:rPr>
        <w:t xml:space="preserve"> (на 5,5%). Расходы на ведение дел страховых о</w:t>
      </w:r>
      <w:r w:rsidR="00D37689">
        <w:rPr>
          <w:sz w:val="27"/>
          <w:szCs w:val="27"/>
        </w:rPr>
        <w:t>рганизаций за счё</w:t>
      </w:r>
      <w:r w:rsidR="000561F9">
        <w:rPr>
          <w:sz w:val="27"/>
          <w:szCs w:val="27"/>
        </w:rPr>
        <w:t xml:space="preserve">т расходов на </w:t>
      </w:r>
      <w:r w:rsidRPr="007A5137">
        <w:rPr>
          <w:sz w:val="27"/>
          <w:szCs w:val="27"/>
        </w:rPr>
        <w:t xml:space="preserve">реализацию </w:t>
      </w:r>
      <w:r w:rsidR="007A5379">
        <w:rPr>
          <w:sz w:val="27"/>
          <w:szCs w:val="27"/>
        </w:rPr>
        <w:t xml:space="preserve">Территориальной программы </w:t>
      </w:r>
      <w:r w:rsidRPr="007A5137">
        <w:rPr>
          <w:sz w:val="27"/>
          <w:szCs w:val="27"/>
        </w:rPr>
        <w:t>ОМС возросли на 9 072,1 тыс. руб</w:t>
      </w:r>
      <w:r w:rsidR="007A5379">
        <w:rPr>
          <w:sz w:val="27"/>
          <w:szCs w:val="27"/>
        </w:rPr>
        <w:t>лей,</w:t>
      </w:r>
      <w:r w:rsidRPr="007A5137">
        <w:rPr>
          <w:sz w:val="27"/>
          <w:szCs w:val="27"/>
        </w:rPr>
        <w:t xml:space="preserve"> или на 6,8%.</w:t>
      </w:r>
    </w:p>
    <w:p w:rsidR="007A5137" w:rsidRPr="007A5137" w:rsidRDefault="007A5137" w:rsidP="00D37689">
      <w:pPr>
        <w:pStyle w:val="a8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 w:rsidRPr="007A5137">
        <w:rPr>
          <w:sz w:val="27"/>
          <w:szCs w:val="27"/>
        </w:rPr>
        <w:t xml:space="preserve">Расходы на оплату оказанной медицинской помощи иногородним                  гражданам </w:t>
      </w:r>
      <w:r w:rsidR="00D37689">
        <w:rPr>
          <w:sz w:val="27"/>
          <w:szCs w:val="27"/>
        </w:rPr>
        <w:t>–</w:t>
      </w:r>
      <w:r w:rsidRPr="007A5137">
        <w:rPr>
          <w:sz w:val="27"/>
          <w:szCs w:val="27"/>
        </w:rPr>
        <w:t xml:space="preserve"> увеличились на 45 970,9 тыс. руб</w:t>
      </w:r>
      <w:r w:rsidR="00D37689">
        <w:rPr>
          <w:sz w:val="27"/>
          <w:szCs w:val="27"/>
        </w:rPr>
        <w:t>лей,</w:t>
      </w:r>
      <w:r w:rsidRPr="007A5137">
        <w:rPr>
          <w:sz w:val="27"/>
          <w:szCs w:val="27"/>
        </w:rPr>
        <w:t xml:space="preserve"> или на 23,0%</w:t>
      </w:r>
      <w:r w:rsidR="00D37689">
        <w:rPr>
          <w:sz w:val="27"/>
          <w:szCs w:val="27"/>
        </w:rPr>
        <w:t>;</w:t>
      </w:r>
      <w:r w:rsidRPr="007A5137">
        <w:rPr>
          <w:sz w:val="27"/>
          <w:szCs w:val="27"/>
        </w:rPr>
        <w:t xml:space="preserve"> на оплату за                   медицинскую помощь, оказанную по обращениям в медицинские организации Р</w:t>
      </w:r>
      <w:r w:rsidR="007A5379">
        <w:rPr>
          <w:sz w:val="27"/>
          <w:szCs w:val="27"/>
        </w:rPr>
        <w:t>оссийской Федерации</w:t>
      </w:r>
      <w:r w:rsidRPr="007A5137">
        <w:rPr>
          <w:sz w:val="27"/>
          <w:szCs w:val="27"/>
        </w:rPr>
        <w:t xml:space="preserve"> граждан, застрахованных в У</w:t>
      </w:r>
      <w:r w:rsidR="007A5379">
        <w:rPr>
          <w:sz w:val="27"/>
          <w:szCs w:val="27"/>
        </w:rPr>
        <w:t>дмуртской Республике</w:t>
      </w:r>
      <w:r w:rsidRPr="007A5137">
        <w:rPr>
          <w:sz w:val="27"/>
          <w:szCs w:val="27"/>
        </w:rPr>
        <w:t xml:space="preserve"> </w:t>
      </w:r>
      <w:r w:rsidR="007A5379">
        <w:rPr>
          <w:sz w:val="27"/>
          <w:szCs w:val="27"/>
        </w:rPr>
        <w:t>–</w:t>
      </w:r>
      <w:r w:rsidRPr="007A5137">
        <w:rPr>
          <w:sz w:val="27"/>
          <w:szCs w:val="27"/>
        </w:rPr>
        <w:t xml:space="preserve"> на 39 236,6 тыс. руб</w:t>
      </w:r>
      <w:r w:rsidR="007A5379">
        <w:rPr>
          <w:sz w:val="27"/>
          <w:szCs w:val="27"/>
        </w:rPr>
        <w:t>лей</w:t>
      </w:r>
      <w:r w:rsidRPr="007A5137">
        <w:rPr>
          <w:sz w:val="27"/>
          <w:szCs w:val="27"/>
        </w:rPr>
        <w:t xml:space="preserve"> или на 10,5%, что обусловлено увеличением количества сл</w:t>
      </w:r>
      <w:r w:rsidR="00D37689">
        <w:rPr>
          <w:sz w:val="27"/>
          <w:szCs w:val="27"/>
        </w:rPr>
        <w:t>учаев дорогостоящей медицинской</w:t>
      </w:r>
      <w:r w:rsidRPr="007A5137">
        <w:rPr>
          <w:sz w:val="27"/>
          <w:szCs w:val="27"/>
        </w:rPr>
        <w:t xml:space="preserve"> помощи. </w:t>
      </w:r>
    </w:p>
    <w:p w:rsidR="00D37689" w:rsidRPr="007A5137" w:rsidRDefault="007A5137" w:rsidP="00E17A90">
      <w:pPr>
        <w:pStyle w:val="a8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proofErr w:type="spellStart"/>
      <w:r w:rsidRPr="007A5137">
        <w:rPr>
          <w:sz w:val="27"/>
          <w:szCs w:val="27"/>
        </w:rPr>
        <w:t>Подушевой</w:t>
      </w:r>
      <w:proofErr w:type="spellEnd"/>
      <w:r w:rsidRPr="007A5137">
        <w:rPr>
          <w:sz w:val="27"/>
          <w:szCs w:val="27"/>
        </w:rPr>
        <w:t xml:space="preserve"> норматив финансирования </w:t>
      </w:r>
      <w:r w:rsidR="00D37689" w:rsidRPr="00E17A90">
        <w:rPr>
          <w:sz w:val="27"/>
          <w:szCs w:val="27"/>
        </w:rPr>
        <w:t xml:space="preserve">Территориальной программы </w:t>
      </w:r>
      <w:r w:rsidRPr="007A5137">
        <w:rPr>
          <w:sz w:val="27"/>
          <w:szCs w:val="27"/>
        </w:rPr>
        <w:t xml:space="preserve">ОМС на </w:t>
      </w:r>
      <w:r w:rsidR="00D37689" w:rsidRPr="00E17A90">
        <w:rPr>
          <w:sz w:val="27"/>
          <w:szCs w:val="27"/>
        </w:rPr>
        <w:t>одного</w:t>
      </w:r>
      <w:r w:rsidRPr="007A5137">
        <w:rPr>
          <w:sz w:val="27"/>
          <w:szCs w:val="27"/>
        </w:rPr>
        <w:t xml:space="preserve"> застрахованного в 2017 году на территории Удмуртской Республики составил 9 672,7 руб</w:t>
      </w:r>
      <w:r w:rsidR="00E17A90" w:rsidRPr="00E17A90">
        <w:rPr>
          <w:sz w:val="27"/>
          <w:szCs w:val="27"/>
        </w:rPr>
        <w:t>лей</w:t>
      </w:r>
      <w:r w:rsidR="00D37689" w:rsidRPr="00E17A90">
        <w:rPr>
          <w:sz w:val="27"/>
          <w:szCs w:val="27"/>
        </w:rPr>
        <w:t xml:space="preserve"> (в 2016 году – 9 166,93 рубля), </w:t>
      </w:r>
      <w:r w:rsidRPr="007A5137">
        <w:rPr>
          <w:sz w:val="27"/>
          <w:szCs w:val="27"/>
        </w:rPr>
        <w:t xml:space="preserve">без учета расходов на административно </w:t>
      </w:r>
      <w:r w:rsidR="00D37689" w:rsidRPr="00E17A90">
        <w:rPr>
          <w:sz w:val="27"/>
          <w:szCs w:val="27"/>
        </w:rPr>
        <w:t>–</w:t>
      </w:r>
      <w:r w:rsidRPr="007A5137">
        <w:rPr>
          <w:sz w:val="27"/>
          <w:szCs w:val="27"/>
        </w:rPr>
        <w:t xml:space="preserve"> управленческий персонал, </w:t>
      </w:r>
      <w:r w:rsidR="00D37689" w:rsidRPr="00E17A90">
        <w:rPr>
          <w:sz w:val="27"/>
          <w:szCs w:val="27"/>
        </w:rPr>
        <w:t>что состав</w:t>
      </w:r>
      <w:r w:rsidR="00E17A90" w:rsidRPr="00E17A90">
        <w:rPr>
          <w:sz w:val="27"/>
          <w:szCs w:val="27"/>
        </w:rPr>
        <w:t>ило</w:t>
      </w:r>
      <w:r w:rsidR="00D37689" w:rsidRPr="00E17A90">
        <w:rPr>
          <w:sz w:val="27"/>
          <w:szCs w:val="27"/>
        </w:rPr>
        <w:t xml:space="preserve"> 100% от рекомендуемого для Удмуртской Республики показателя по Российской Федерации. В ср</w:t>
      </w:r>
      <w:r w:rsidR="000F4834">
        <w:rPr>
          <w:sz w:val="27"/>
          <w:szCs w:val="27"/>
        </w:rPr>
        <w:t xml:space="preserve">авнении с предыдущим 2016 годом </w:t>
      </w:r>
      <w:proofErr w:type="spellStart"/>
      <w:r w:rsidR="00D37689" w:rsidRPr="00E17A90">
        <w:rPr>
          <w:sz w:val="27"/>
          <w:szCs w:val="27"/>
        </w:rPr>
        <w:t>подушевой</w:t>
      </w:r>
      <w:proofErr w:type="spellEnd"/>
      <w:r w:rsidR="00D37689" w:rsidRPr="00E17A90">
        <w:rPr>
          <w:sz w:val="27"/>
          <w:szCs w:val="27"/>
        </w:rPr>
        <w:t xml:space="preserve"> норматив увеличился на 5,5%.</w:t>
      </w:r>
    </w:p>
    <w:p w:rsidR="006A5396" w:rsidRDefault="007A5137" w:rsidP="006A5396">
      <w:pPr>
        <w:pStyle w:val="a8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 w:rsidRPr="007A5137">
        <w:rPr>
          <w:sz w:val="27"/>
          <w:szCs w:val="27"/>
        </w:rPr>
        <w:t>Прочие межбюджетные трансферты общего характера (</w:t>
      </w:r>
      <w:r w:rsidR="006A5396">
        <w:rPr>
          <w:sz w:val="27"/>
          <w:szCs w:val="27"/>
        </w:rPr>
        <w:t>подраздел</w:t>
      </w:r>
      <w:r w:rsidRPr="007A5137">
        <w:rPr>
          <w:sz w:val="27"/>
          <w:szCs w:val="27"/>
        </w:rPr>
        <w:t xml:space="preserve"> 1403)                профинансированы в сумме 45 600,0 тыс. руб. (76,0 % от уточненных годовых </w:t>
      </w:r>
      <w:r w:rsidR="0027331E">
        <w:rPr>
          <w:sz w:val="27"/>
          <w:szCs w:val="27"/>
        </w:rPr>
        <w:t>назначений).</w:t>
      </w:r>
      <w:r w:rsidRPr="007A5137">
        <w:rPr>
          <w:sz w:val="27"/>
          <w:szCs w:val="27"/>
        </w:rPr>
        <w:t xml:space="preserve"> </w:t>
      </w:r>
      <w:r w:rsidR="0027331E">
        <w:rPr>
          <w:sz w:val="27"/>
          <w:szCs w:val="27"/>
        </w:rPr>
        <w:t>Данные средства</w:t>
      </w:r>
      <w:r w:rsidRPr="007A5137">
        <w:rPr>
          <w:sz w:val="27"/>
          <w:szCs w:val="27"/>
        </w:rPr>
        <w:t xml:space="preserve"> перечислены в бюджет Удмуртской Республики (Мин</w:t>
      </w:r>
      <w:r w:rsidR="006A5396">
        <w:rPr>
          <w:sz w:val="27"/>
          <w:szCs w:val="27"/>
        </w:rPr>
        <w:t>истерству здравоохранения</w:t>
      </w:r>
      <w:r w:rsidRPr="007A5137">
        <w:rPr>
          <w:sz w:val="27"/>
          <w:szCs w:val="27"/>
        </w:rPr>
        <w:t xml:space="preserve"> Удмурт</w:t>
      </w:r>
      <w:r w:rsidR="006A5396">
        <w:rPr>
          <w:sz w:val="27"/>
          <w:szCs w:val="27"/>
        </w:rPr>
        <w:t>ской Республики</w:t>
      </w:r>
      <w:r w:rsidRPr="007A5137">
        <w:rPr>
          <w:sz w:val="27"/>
          <w:szCs w:val="27"/>
        </w:rPr>
        <w:t>) на осуществление единовременных компенсационных выплат 76 медицинским работникам, прибывшим в 2017 году после окончания  образовательного учреждения высшего профессионально</w:t>
      </w:r>
      <w:r w:rsidR="006A5396">
        <w:rPr>
          <w:sz w:val="27"/>
          <w:szCs w:val="27"/>
        </w:rPr>
        <w:t xml:space="preserve">го образования на  </w:t>
      </w:r>
      <w:r w:rsidRPr="007A5137">
        <w:rPr>
          <w:sz w:val="27"/>
          <w:szCs w:val="27"/>
        </w:rPr>
        <w:t>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</w:t>
      </w:r>
      <w:r w:rsidR="006A5396">
        <w:rPr>
          <w:sz w:val="27"/>
          <w:szCs w:val="27"/>
        </w:rPr>
        <w:t xml:space="preserve">оссийской </w:t>
      </w:r>
      <w:r w:rsidRPr="007A5137">
        <w:rPr>
          <w:sz w:val="27"/>
          <w:szCs w:val="27"/>
        </w:rPr>
        <w:t>Ф</w:t>
      </w:r>
      <w:r w:rsidR="006A5396">
        <w:rPr>
          <w:sz w:val="27"/>
          <w:szCs w:val="27"/>
        </w:rPr>
        <w:t>едерации</w:t>
      </w:r>
      <w:r w:rsidRPr="007A5137">
        <w:rPr>
          <w:sz w:val="27"/>
          <w:szCs w:val="27"/>
        </w:rPr>
        <w:t xml:space="preserve"> договор (из расчета 1 000,0 тыс. руб. на одного указанного медицинского работника). </w:t>
      </w:r>
    </w:p>
    <w:p w:rsidR="007A5137" w:rsidRPr="007A5137" w:rsidRDefault="007A5137" w:rsidP="006A5396">
      <w:pPr>
        <w:pStyle w:val="a8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7A5137">
        <w:rPr>
          <w:sz w:val="27"/>
          <w:szCs w:val="27"/>
        </w:rPr>
        <w:t xml:space="preserve">Финансовое обеспечение единовременных компенсационных выплат медицинским работникам в 2017 году осуществлялось на условиях </w:t>
      </w:r>
      <w:proofErr w:type="spellStart"/>
      <w:r w:rsidRPr="007A5137">
        <w:rPr>
          <w:sz w:val="27"/>
          <w:szCs w:val="27"/>
        </w:rPr>
        <w:t>софинансирования</w:t>
      </w:r>
      <w:proofErr w:type="spellEnd"/>
      <w:r w:rsidRPr="007A5137">
        <w:rPr>
          <w:sz w:val="27"/>
          <w:szCs w:val="27"/>
        </w:rPr>
        <w:t xml:space="preserve"> (60% - средства бюджета Федерального Фонда обязательного медицинского страхован</w:t>
      </w:r>
      <w:r w:rsidR="004E1DF9">
        <w:rPr>
          <w:sz w:val="27"/>
          <w:szCs w:val="27"/>
        </w:rPr>
        <w:t>ия, 40% - средства бюджета У</w:t>
      </w:r>
      <w:r w:rsidR="006A5396">
        <w:rPr>
          <w:sz w:val="27"/>
          <w:szCs w:val="27"/>
        </w:rPr>
        <w:t xml:space="preserve">дмуртской </w:t>
      </w:r>
      <w:r w:rsidR="004E1DF9">
        <w:rPr>
          <w:sz w:val="27"/>
          <w:szCs w:val="27"/>
        </w:rPr>
        <w:t>Р</w:t>
      </w:r>
      <w:r w:rsidR="006A5396">
        <w:rPr>
          <w:sz w:val="27"/>
          <w:szCs w:val="27"/>
        </w:rPr>
        <w:t>еспублики</w:t>
      </w:r>
      <w:r w:rsidR="004E1DF9">
        <w:rPr>
          <w:sz w:val="27"/>
          <w:szCs w:val="27"/>
        </w:rPr>
        <w:t>)</w:t>
      </w:r>
      <w:r w:rsidR="00084A8A">
        <w:rPr>
          <w:sz w:val="27"/>
          <w:szCs w:val="27"/>
        </w:rPr>
        <w:t xml:space="preserve">. </w:t>
      </w:r>
      <w:r w:rsidR="004E1DF9">
        <w:rPr>
          <w:sz w:val="27"/>
          <w:szCs w:val="27"/>
        </w:rPr>
        <w:t xml:space="preserve"> </w:t>
      </w:r>
    </w:p>
    <w:p w:rsidR="007A5137" w:rsidRPr="007A5137" w:rsidRDefault="007A5137" w:rsidP="00D37689">
      <w:pPr>
        <w:pStyle w:val="a8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 w:rsidRPr="007A5137">
        <w:rPr>
          <w:sz w:val="27"/>
          <w:szCs w:val="27"/>
        </w:rPr>
        <w:t>Законом о бюджете Фонда на 2017 год утверждены источники внутреннего финансирования дефицита бюджета Фонда в сумме 70 324,3 тыс. руб</w:t>
      </w:r>
      <w:r w:rsidR="00C93A5B">
        <w:rPr>
          <w:sz w:val="27"/>
          <w:szCs w:val="27"/>
        </w:rPr>
        <w:t>лей за счё</w:t>
      </w:r>
      <w:r w:rsidRPr="007A5137">
        <w:rPr>
          <w:sz w:val="27"/>
          <w:szCs w:val="27"/>
        </w:rPr>
        <w:t xml:space="preserve">т переходящего остатка средств на счете Фонда на 01.01.2017. </w:t>
      </w:r>
    </w:p>
    <w:p w:rsidR="007A5137" w:rsidRPr="007A5137" w:rsidRDefault="001E1163" w:rsidP="00D37689">
      <w:pPr>
        <w:pStyle w:val="a8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 Фонда в 2017 </w:t>
      </w:r>
      <w:r w:rsidR="007A5137" w:rsidRPr="007A5137">
        <w:rPr>
          <w:sz w:val="27"/>
          <w:szCs w:val="27"/>
        </w:rPr>
        <w:t>году исполнен с дефицитом в сумме                         32 197,2 тыс. руб</w:t>
      </w:r>
      <w:r w:rsidR="00C93A5B">
        <w:rPr>
          <w:sz w:val="27"/>
          <w:szCs w:val="27"/>
        </w:rPr>
        <w:t>лей</w:t>
      </w:r>
      <w:r w:rsidR="007A5137" w:rsidRPr="007A5137">
        <w:rPr>
          <w:sz w:val="27"/>
          <w:szCs w:val="27"/>
        </w:rPr>
        <w:t>, что повлияло на уменьше</w:t>
      </w:r>
      <w:r w:rsidR="00C93A5B">
        <w:rPr>
          <w:sz w:val="27"/>
          <w:szCs w:val="27"/>
        </w:rPr>
        <w:t>ние остатка средств на счё</w:t>
      </w:r>
      <w:r w:rsidR="007A5137" w:rsidRPr="007A5137">
        <w:rPr>
          <w:sz w:val="27"/>
          <w:szCs w:val="27"/>
        </w:rPr>
        <w:t>те Фонда на конец года, который по состоянию на 01.01.2018 составил 38 127,1 тыс. руб</w:t>
      </w:r>
      <w:r w:rsidR="00C93A5B">
        <w:rPr>
          <w:sz w:val="27"/>
          <w:szCs w:val="27"/>
        </w:rPr>
        <w:t>лей</w:t>
      </w:r>
      <w:r w:rsidR="007A5137" w:rsidRPr="007A5137">
        <w:rPr>
          <w:sz w:val="27"/>
          <w:szCs w:val="27"/>
        </w:rPr>
        <w:t>.</w:t>
      </w:r>
    </w:p>
    <w:p w:rsidR="00146322" w:rsidRPr="003442CE" w:rsidRDefault="00146322" w:rsidP="003411E3">
      <w:pPr>
        <w:pStyle w:val="a8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3442CE">
        <w:rPr>
          <w:color w:val="FF0000"/>
          <w:sz w:val="27"/>
          <w:szCs w:val="27"/>
        </w:rPr>
        <w:t xml:space="preserve">          </w:t>
      </w:r>
      <w:r w:rsidRPr="003442CE">
        <w:rPr>
          <w:sz w:val="27"/>
          <w:szCs w:val="27"/>
        </w:rPr>
        <w:t>Исполнение бюджета Территориального фонда обязательного медицинского страхования Удмуртской Республики за 201</w:t>
      </w:r>
      <w:r w:rsidR="003442CE" w:rsidRPr="003442CE">
        <w:rPr>
          <w:sz w:val="27"/>
          <w:szCs w:val="27"/>
        </w:rPr>
        <w:t>7</w:t>
      </w:r>
      <w:r w:rsidRPr="003442CE">
        <w:rPr>
          <w:sz w:val="27"/>
          <w:szCs w:val="27"/>
        </w:rPr>
        <w:t xml:space="preserve"> год произведено в соответствии с действующим законодательством</w:t>
      </w:r>
      <w:r w:rsidR="007326D0" w:rsidRPr="003442CE">
        <w:rPr>
          <w:sz w:val="27"/>
          <w:szCs w:val="27"/>
        </w:rPr>
        <w:t>.</w:t>
      </w:r>
      <w:r w:rsidRPr="003442CE">
        <w:rPr>
          <w:sz w:val="27"/>
          <w:szCs w:val="27"/>
        </w:rPr>
        <w:t xml:space="preserve">  </w:t>
      </w:r>
    </w:p>
    <w:p w:rsidR="00F710A4" w:rsidRPr="003442CE" w:rsidRDefault="00F710A4" w:rsidP="003411E3">
      <w:pPr>
        <w:spacing w:after="0" w:line="360" w:lineRule="auto"/>
        <w:ind w:firstLine="709"/>
        <w:jc w:val="both"/>
        <w:rPr>
          <w:sz w:val="27"/>
          <w:szCs w:val="27"/>
        </w:rPr>
      </w:pPr>
      <w:r w:rsidRPr="003442CE">
        <w:rPr>
          <w:color w:val="000000"/>
          <w:sz w:val="27"/>
          <w:szCs w:val="27"/>
        </w:rPr>
        <w:t>На Проект закона п</w:t>
      </w:r>
      <w:r w:rsidRPr="003442CE">
        <w:rPr>
          <w:sz w:val="27"/>
          <w:szCs w:val="27"/>
        </w:rPr>
        <w:t>олучены положительные заключения Управления министерства юстиции Российской Федерации по Удмуртской Республике, прокуратуры Удмуртской Республики, Правового управления Аппарата Государственного</w:t>
      </w:r>
      <w:r w:rsidR="00A42B7F">
        <w:rPr>
          <w:sz w:val="27"/>
          <w:szCs w:val="27"/>
        </w:rPr>
        <w:t xml:space="preserve"> Совета Удмуртской Республики, </w:t>
      </w:r>
      <w:r w:rsidRPr="003442CE">
        <w:rPr>
          <w:sz w:val="27"/>
          <w:szCs w:val="27"/>
        </w:rPr>
        <w:t>Государственного контрольного к</w:t>
      </w:r>
      <w:r w:rsidR="003B5639" w:rsidRPr="003442CE">
        <w:rPr>
          <w:sz w:val="27"/>
          <w:szCs w:val="27"/>
        </w:rPr>
        <w:t xml:space="preserve">омитета Удмуртской Республики, </w:t>
      </w:r>
      <w:r w:rsidR="00A42B7F" w:rsidRPr="00A42B7F">
        <w:rPr>
          <w:sz w:val="27"/>
          <w:szCs w:val="27"/>
        </w:rPr>
        <w:t>постоянной комиссии Государственного Совета Удмуртской Республики по здравоохранению, демографической и семейной политике.</w:t>
      </w:r>
    </w:p>
    <w:p w:rsidR="009F4034" w:rsidRPr="00512430" w:rsidRDefault="009F4034" w:rsidP="003411E3">
      <w:pPr>
        <w:spacing w:after="0" w:line="360" w:lineRule="auto"/>
        <w:ind w:firstLine="708"/>
        <w:jc w:val="both"/>
        <w:rPr>
          <w:sz w:val="27"/>
          <w:szCs w:val="27"/>
        </w:rPr>
      </w:pPr>
      <w:r w:rsidRPr="00512430">
        <w:rPr>
          <w:sz w:val="27"/>
          <w:szCs w:val="27"/>
        </w:rPr>
        <w:t>Учитывая вышеизложенное, постоянная комиссия Государственного Совета Удмуртской Республики по бюджету, налогам и финансам рекомендует Государственному Совету Удмуртской Республики принять Проект закона в двух чтениях.</w:t>
      </w:r>
    </w:p>
    <w:p w:rsidR="00A74B75" w:rsidRPr="002E67B2" w:rsidRDefault="00A74B75" w:rsidP="006D2EB1">
      <w:pPr>
        <w:spacing w:after="0" w:line="240" w:lineRule="auto"/>
        <w:jc w:val="both"/>
        <w:rPr>
          <w:sz w:val="27"/>
          <w:szCs w:val="27"/>
          <w:highlight w:val="yellow"/>
        </w:rPr>
      </w:pPr>
    </w:p>
    <w:p w:rsidR="00A74B75" w:rsidRPr="002E67B2" w:rsidRDefault="00A74B75" w:rsidP="006D2EB1">
      <w:pPr>
        <w:spacing w:after="0" w:line="240" w:lineRule="auto"/>
        <w:jc w:val="both"/>
        <w:rPr>
          <w:sz w:val="27"/>
          <w:szCs w:val="27"/>
          <w:highlight w:val="yellow"/>
        </w:rPr>
      </w:pPr>
    </w:p>
    <w:p w:rsidR="00A74B75" w:rsidRPr="002E67B2" w:rsidRDefault="00A74B75" w:rsidP="006D2EB1">
      <w:pPr>
        <w:spacing w:after="0" w:line="240" w:lineRule="auto"/>
        <w:jc w:val="both"/>
        <w:rPr>
          <w:sz w:val="27"/>
          <w:szCs w:val="27"/>
          <w:highlight w:val="yellow"/>
        </w:rPr>
      </w:pPr>
    </w:p>
    <w:p w:rsidR="008C28A2" w:rsidRPr="008C28A2" w:rsidRDefault="008C28A2" w:rsidP="008C28A2">
      <w:pPr>
        <w:spacing w:after="0" w:line="240" w:lineRule="auto"/>
        <w:jc w:val="both"/>
        <w:rPr>
          <w:sz w:val="27"/>
          <w:szCs w:val="27"/>
        </w:rPr>
      </w:pPr>
      <w:r w:rsidRPr="008C28A2">
        <w:rPr>
          <w:sz w:val="27"/>
          <w:szCs w:val="27"/>
        </w:rPr>
        <w:t>Председатель постоянной комиссии</w:t>
      </w:r>
    </w:p>
    <w:p w:rsidR="008C28A2" w:rsidRPr="008C28A2" w:rsidRDefault="008C28A2" w:rsidP="008C28A2">
      <w:pPr>
        <w:spacing w:after="0" w:line="240" w:lineRule="auto"/>
        <w:jc w:val="both"/>
        <w:rPr>
          <w:sz w:val="27"/>
          <w:szCs w:val="27"/>
        </w:rPr>
      </w:pPr>
      <w:r w:rsidRPr="008C28A2">
        <w:rPr>
          <w:sz w:val="27"/>
          <w:szCs w:val="27"/>
        </w:rPr>
        <w:t>Государственного Совета</w:t>
      </w:r>
    </w:p>
    <w:p w:rsidR="008C28A2" w:rsidRPr="008C28A2" w:rsidRDefault="008C28A2" w:rsidP="008C28A2">
      <w:pPr>
        <w:spacing w:after="0" w:line="240" w:lineRule="auto"/>
        <w:jc w:val="both"/>
        <w:rPr>
          <w:sz w:val="27"/>
          <w:szCs w:val="27"/>
        </w:rPr>
      </w:pPr>
      <w:r w:rsidRPr="008C28A2">
        <w:rPr>
          <w:sz w:val="27"/>
          <w:szCs w:val="27"/>
        </w:rPr>
        <w:t>Удмуртской Республики</w:t>
      </w:r>
    </w:p>
    <w:p w:rsidR="00991A7E" w:rsidRDefault="008C28A2" w:rsidP="008C28A2">
      <w:pPr>
        <w:spacing w:after="0" w:line="240" w:lineRule="auto"/>
        <w:jc w:val="both"/>
        <w:rPr>
          <w:sz w:val="27"/>
          <w:szCs w:val="27"/>
        </w:rPr>
      </w:pPr>
      <w:r w:rsidRPr="008C28A2">
        <w:rPr>
          <w:sz w:val="27"/>
          <w:szCs w:val="27"/>
        </w:rPr>
        <w:t xml:space="preserve">по бюджету, налогам и </w:t>
      </w:r>
      <w:proofErr w:type="gramStart"/>
      <w:r w:rsidRPr="008C28A2">
        <w:rPr>
          <w:sz w:val="27"/>
          <w:szCs w:val="27"/>
        </w:rPr>
        <w:t xml:space="preserve">финансам  </w:t>
      </w:r>
      <w:r w:rsidRPr="008C28A2">
        <w:rPr>
          <w:sz w:val="27"/>
          <w:szCs w:val="27"/>
        </w:rPr>
        <w:tab/>
      </w:r>
      <w:proofErr w:type="gramEnd"/>
      <w:r w:rsidRPr="008C28A2">
        <w:rPr>
          <w:sz w:val="27"/>
          <w:szCs w:val="27"/>
        </w:rPr>
        <w:tab/>
      </w:r>
      <w:r w:rsidRPr="008C28A2">
        <w:rPr>
          <w:sz w:val="27"/>
          <w:szCs w:val="27"/>
        </w:rPr>
        <w:tab/>
      </w:r>
      <w:r w:rsidRPr="008C28A2">
        <w:rPr>
          <w:sz w:val="27"/>
          <w:szCs w:val="27"/>
        </w:rPr>
        <w:tab/>
        <w:t xml:space="preserve">                     </w:t>
      </w:r>
      <w:r>
        <w:rPr>
          <w:sz w:val="27"/>
          <w:szCs w:val="27"/>
        </w:rPr>
        <w:t xml:space="preserve">    </w:t>
      </w:r>
      <w:proofErr w:type="spellStart"/>
      <w:r w:rsidRPr="008C28A2">
        <w:rPr>
          <w:sz w:val="27"/>
          <w:szCs w:val="27"/>
        </w:rPr>
        <w:t>Ю.А.Тюрин</w:t>
      </w:r>
      <w:proofErr w:type="spellEnd"/>
    </w:p>
    <w:p w:rsidR="003442CE" w:rsidRPr="003B5639" w:rsidRDefault="003442CE" w:rsidP="002A1B64">
      <w:pPr>
        <w:spacing w:after="0" w:line="240" w:lineRule="auto"/>
        <w:jc w:val="both"/>
        <w:rPr>
          <w:sz w:val="27"/>
          <w:szCs w:val="27"/>
        </w:rPr>
      </w:pPr>
    </w:p>
    <w:sectPr w:rsidR="003442CE" w:rsidRPr="003B5639" w:rsidSect="008D06F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F1" w:rsidRDefault="008D06F1" w:rsidP="008D06F1">
      <w:pPr>
        <w:spacing w:after="0" w:line="240" w:lineRule="auto"/>
      </w:pPr>
      <w:r>
        <w:separator/>
      </w:r>
    </w:p>
  </w:endnote>
  <w:endnote w:type="continuationSeparator" w:id="0">
    <w:p w:rsidR="008D06F1" w:rsidRDefault="008D06F1" w:rsidP="008D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F1" w:rsidRDefault="008D06F1" w:rsidP="008D06F1">
      <w:pPr>
        <w:spacing w:after="0" w:line="240" w:lineRule="auto"/>
      </w:pPr>
      <w:r>
        <w:separator/>
      </w:r>
    </w:p>
  </w:footnote>
  <w:footnote w:type="continuationSeparator" w:id="0">
    <w:p w:rsidR="008D06F1" w:rsidRDefault="008D06F1" w:rsidP="008D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F1" w:rsidRPr="008D06F1" w:rsidRDefault="008D06F1" w:rsidP="008D06F1">
    <w:pPr>
      <w:pStyle w:val="ab"/>
      <w:tabs>
        <w:tab w:val="center" w:pos="4749"/>
        <w:tab w:val="left" w:pos="5385"/>
      </w:tabs>
      <w:rPr>
        <w:sz w:val="24"/>
        <w:szCs w:val="24"/>
      </w:rPr>
    </w:pPr>
    <w:r w:rsidRPr="008D06F1">
      <w:rPr>
        <w:sz w:val="24"/>
        <w:szCs w:val="24"/>
      </w:rPr>
      <w:tab/>
    </w:r>
    <w:r w:rsidRPr="008D06F1">
      <w:rPr>
        <w:sz w:val="24"/>
        <w:szCs w:val="24"/>
      </w:rPr>
      <w:tab/>
    </w:r>
    <w:sdt>
      <w:sdtPr>
        <w:rPr>
          <w:sz w:val="24"/>
          <w:szCs w:val="24"/>
        </w:rPr>
        <w:id w:val="-219979054"/>
        <w:docPartObj>
          <w:docPartGallery w:val="Page Numbers (Top of Page)"/>
          <w:docPartUnique/>
        </w:docPartObj>
      </w:sdtPr>
      <w:sdtEndPr/>
      <w:sdtContent>
        <w:r w:rsidRPr="008D06F1">
          <w:rPr>
            <w:sz w:val="24"/>
            <w:szCs w:val="24"/>
          </w:rPr>
          <w:fldChar w:fldCharType="begin"/>
        </w:r>
        <w:r w:rsidRPr="008D06F1">
          <w:rPr>
            <w:sz w:val="24"/>
            <w:szCs w:val="24"/>
          </w:rPr>
          <w:instrText>PAGE   \* MERGEFORMAT</w:instrText>
        </w:r>
        <w:r w:rsidRPr="008D06F1">
          <w:rPr>
            <w:sz w:val="24"/>
            <w:szCs w:val="24"/>
          </w:rPr>
          <w:fldChar w:fldCharType="separate"/>
        </w:r>
        <w:r w:rsidR="008C28A2">
          <w:rPr>
            <w:noProof/>
            <w:sz w:val="24"/>
            <w:szCs w:val="24"/>
          </w:rPr>
          <w:t>8</w:t>
        </w:r>
        <w:r w:rsidRPr="008D06F1">
          <w:rPr>
            <w:sz w:val="24"/>
            <w:szCs w:val="24"/>
          </w:rPr>
          <w:fldChar w:fldCharType="end"/>
        </w:r>
      </w:sdtContent>
    </w:sdt>
    <w:r w:rsidRPr="008D06F1">
      <w:rPr>
        <w:sz w:val="24"/>
        <w:szCs w:val="24"/>
      </w:rPr>
      <w:tab/>
    </w:r>
  </w:p>
  <w:p w:rsidR="008D06F1" w:rsidRPr="008D06F1" w:rsidRDefault="008D06F1">
    <w:pPr>
      <w:pStyle w:val="ab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AE2"/>
    <w:multiLevelType w:val="hybridMultilevel"/>
    <w:tmpl w:val="B5D2C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F148C4"/>
    <w:multiLevelType w:val="hybridMultilevel"/>
    <w:tmpl w:val="7F10FB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CFC132A"/>
    <w:multiLevelType w:val="hybridMultilevel"/>
    <w:tmpl w:val="25885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2"/>
    <w:rsid w:val="00023550"/>
    <w:rsid w:val="00024731"/>
    <w:rsid w:val="00036536"/>
    <w:rsid w:val="00045616"/>
    <w:rsid w:val="00047A70"/>
    <w:rsid w:val="000561F9"/>
    <w:rsid w:val="0007039F"/>
    <w:rsid w:val="00077B6D"/>
    <w:rsid w:val="00084A8A"/>
    <w:rsid w:val="000858BE"/>
    <w:rsid w:val="00091CAE"/>
    <w:rsid w:val="000A0E28"/>
    <w:rsid w:val="000A5D42"/>
    <w:rsid w:val="000A7828"/>
    <w:rsid w:val="000C12DB"/>
    <w:rsid w:val="000D1BE5"/>
    <w:rsid w:val="000D3CC7"/>
    <w:rsid w:val="000E0F92"/>
    <w:rsid w:val="000E21D9"/>
    <w:rsid w:val="000F4834"/>
    <w:rsid w:val="0010350B"/>
    <w:rsid w:val="001127D0"/>
    <w:rsid w:val="00114FE1"/>
    <w:rsid w:val="001174D8"/>
    <w:rsid w:val="00123366"/>
    <w:rsid w:val="00146322"/>
    <w:rsid w:val="001468DF"/>
    <w:rsid w:val="00150025"/>
    <w:rsid w:val="00182007"/>
    <w:rsid w:val="00190A49"/>
    <w:rsid w:val="00194510"/>
    <w:rsid w:val="001A3719"/>
    <w:rsid w:val="001A47CA"/>
    <w:rsid w:val="001C2250"/>
    <w:rsid w:val="001C5830"/>
    <w:rsid w:val="001E1163"/>
    <w:rsid w:val="001E5F82"/>
    <w:rsid w:val="001E7DA8"/>
    <w:rsid w:val="00202B40"/>
    <w:rsid w:val="002042E8"/>
    <w:rsid w:val="00207D3F"/>
    <w:rsid w:val="00223151"/>
    <w:rsid w:val="002272BF"/>
    <w:rsid w:val="00245CC7"/>
    <w:rsid w:val="00254406"/>
    <w:rsid w:val="002559A5"/>
    <w:rsid w:val="002566F7"/>
    <w:rsid w:val="0026171A"/>
    <w:rsid w:val="0026316C"/>
    <w:rsid w:val="00271604"/>
    <w:rsid w:val="0027331E"/>
    <w:rsid w:val="00273FC5"/>
    <w:rsid w:val="00282FA2"/>
    <w:rsid w:val="0028618F"/>
    <w:rsid w:val="002977D8"/>
    <w:rsid w:val="002A1B64"/>
    <w:rsid w:val="002B1E21"/>
    <w:rsid w:val="002B47CE"/>
    <w:rsid w:val="002C7025"/>
    <w:rsid w:val="002D54C8"/>
    <w:rsid w:val="002E67B2"/>
    <w:rsid w:val="002F2998"/>
    <w:rsid w:val="00310AC5"/>
    <w:rsid w:val="00336B31"/>
    <w:rsid w:val="00337955"/>
    <w:rsid w:val="003411E3"/>
    <w:rsid w:val="00343B3D"/>
    <w:rsid w:val="003442CE"/>
    <w:rsid w:val="003513DC"/>
    <w:rsid w:val="00370FF5"/>
    <w:rsid w:val="0037144C"/>
    <w:rsid w:val="00374E8B"/>
    <w:rsid w:val="00391097"/>
    <w:rsid w:val="00395EC7"/>
    <w:rsid w:val="00396E1F"/>
    <w:rsid w:val="003A6194"/>
    <w:rsid w:val="003B5639"/>
    <w:rsid w:val="003B6D1A"/>
    <w:rsid w:val="003D7714"/>
    <w:rsid w:val="003D7966"/>
    <w:rsid w:val="003D7BC8"/>
    <w:rsid w:val="003E1137"/>
    <w:rsid w:val="003E56AC"/>
    <w:rsid w:val="00401B87"/>
    <w:rsid w:val="00416AB1"/>
    <w:rsid w:val="004215F6"/>
    <w:rsid w:val="004474B2"/>
    <w:rsid w:val="00473F64"/>
    <w:rsid w:val="004754D7"/>
    <w:rsid w:val="00482C28"/>
    <w:rsid w:val="00495930"/>
    <w:rsid w:val="004A4867"/>
    <w:rsid w:val="004B0D79"/>
    <w:rsid w:val="004B43AA"/>
    <w:rsid w:val="004B6810"/>
    <w:rsid w:val="004D43B2"/>
    <w:rsid w:val="004E1DF9"/>
    <w:rsid w:val="004F790C"/>
    <w:rsid w:val="005014C4"/>
    <w:rsid w:val="00512430"/>
    <w:rsid w:val="005210BC"/>
    <w:rsid w:val="0052511E"/>
    <w:rsid w:val="00525EB8"/>
    <w:rsid w:val="00540267"/>
    <w:rsid w:val="0054604B"/>
    <w:rsid w:val="005519AD"/>
    <w:rsid w:val="005645A1"/>
    <w:rsid w:val="00567C1D"/>
    <w:rsid w:val="005729DB"/>
    <w:rsid w:val="00593DD0"/>
    <w:rsid w:val="005A2967"/>
    <w:rsid w:val="005B3927"/>
    <w:rsid w:val="005E1107"/>
    <w:rsid w:val="005E65C6"/>
    <w:rsid w:val="005E7087"/>
    <w:rsid w:val="005F16C7"/>
    <w:rsid w:val="00625B0E"/>
    <w:rsid w:val="006413DB"/>
    <w:rsid w:val="00643C41"/>
    <w:rsid w:val="00646416"/>
    <w:rsid w:val="006930AE"/>
    <w:rsid w:val="006930FE"/>
    <w:rsid w:val="006A06C4"/>
    <w:rsid w:val="006A5396"/>
    <w:rsid w:val="006C6D87"/>
    <w:rsid w:val="006D2EB1"/>
    <w:rsid w:val="006E0A59"/>
    <w:rsid w:val="006E584B"/>
    <w:rsid w:val="0070049D"/>
    <w:rsid w:val="0070563A"/>
    <w:rsid w:val="00717522"/>
    <w:rsid w:val="007326D0"/>
    <w:rsid w:val="00741250"/>
    <w:rsid w:val="00750052"/>
    <w:rsid w:val="00753173"/>
    <w:rsid w:val="0077283F"/>
    <w:rsid w:val="0078024D"/>
    <w:rsid w:val="0078595F"/>
    <w:rsid w:val="00791C81"/>
    <w:rsid w:val="00792DC5"/>
    <w:rsid w:val="0079585F"/>
    <w:rsid w:val="00796E28"/>
    <w:rsid w:val="007A21FE"/>
    <w:rsid w:val="007A5137"/>
    <w:rsid w:val="007A5379"/>
    <w:rsid w:val="007A6B5A"/>
    <w:rsid w:val="007C6B66"/>
    <w:rsid w:val="007D4921"/>
    <w:rsid w:val="007D755A"/>
    <w:rsid w:val="007E49EA"/>
    <w:rsid w:val="007F5DBE"/>
    <w:rsid w:val="008120BB"/>
    <w:rsid w:val="00821EB7"/>
    <w:rsid w:val="00822E38"/>
    <w:rsid w:val="00825453"/>
    <w:rsid w:val="008268A8"/>
    <w:rsid w:val="00826C90"/>
    <w:rsid w:val="00832A73"/>
    <w:rsid w:val="008364FB"/>
    <w:rsid w:val="00841B6E"/>
    <w:rsid w:val="0084714F"/>
    <w:rsid w:val="00882C9F"/>
    <w:rsid w:val="00897C3F"/>
    <w:rsid w:val="008C08B7"/>
    <w:rsid w:val="008C28A2"/>
    <w:rsid w:val="008C6B35"/>
    <w:rsid w:val="008D06F1"/>
    <w:rsid w:val="008E217D"/>
    <w:rsid w:val="008E4392"/>
    <w:rsid w:val="00901755"/>
    <w:rsid w:val="00912553"/>
    <w:rsid w:val="0092050F"/>
    <w:rsid w:val="009432CD"/>
    <w:rsid w:val="00956181"/>
    <w:rsid w:val="00985874"/>
    <w:rsid w:val="00986EF5"/>
    <w:rsid w:val="00991A7E"/>
    <w:rsid w:val="009932CD"/>
    <w:rsid w:val="009B3D7E"/>
    <w:rsid w:val="009C197D"/>
    <w:rsid w:val="009C3D5B"/>
    <w:rsid w:val="009C6A0F"/>
    <w:rsid w:val="009D15D4"/>
    <w:rsid w:val="009D36C9"/>
    <w:rsid w:val="009F4034"/>
    <w:rsid w:val="00A032E2"/>
    <w:rsid w:val="00A05D66"/>
    <w:rsid w:val="00A069AD"/>
    <w:rsid w:val="00A07A28"/>
    <w:rsid w:val="00A42B7F"/>
    <w:rsid w:val="00A652E2"/>
    <w:rsid w:val="00A67982"/>
    <w:rsid w:val="00A73D9B"/>
    <w:rsid w:val="00A74B75"/>
    <w:rsid w:val="00A822B7"/>
    <w:rsid w:val="00AC036A"/>
    <w:rsid w:val="00AD10CA"/>
    <w:rsid w:val="00AF14D9"/>
    <w:rsid w:val="00B06D75"/>
    <w:rsid w:val="00B135B3"/>
    <w:rsid w:val="00B16CB7"/>
    <w:rsid w:val="00B17899"/>
    <w:rsid w:val="00B26373"/>
    <w:rsid w:val="00B4210B"/>
    <w:rsid w:val="00B52D53"/>
    <w:rsid w:val="00B606CC"/>
    <w:rsid w:val="00B71D0D"/>
    <w:rsid w:val="00B7734C"/>
    <w:rsid w:val="00BA2909"/>
    <w:rsid w:val="00BB35E7"/>
    <w:rsid w:val="00BB371B"/>
    <w:rsid w:val="00BB3B31"/>
    <w:rsid w:val="00BD5965"/>
    <w:rsid w:val="00BF1AA0"/>
    <w:rsid w:val="00C0243E"/>
    <w:rsid w:val="00C24F8E"/>
    <w:rsid w:val="00C27F48"/>
    <w:rsid w:val="00C4749A"/>
    <w:rsid w:val="00C75BA2"/>
    <w:rsid w:val="00C75C07"/>
    <w:rsid w:val="00C808D1"/>
    <w:rsid w:val="00C93A5B"/>
    <w:rsid w:val="00CA41F9"/>
    <w:rsid w:val="00CB37E7"/>
    <w:rsid w:val="00CB5745"/>
    <w:rsid w:val="00CD2A1C"/>
    <w:rsid w:val="00CE125F"/>
    <w:rsid w:val="00CE2496"/>
    <w:rsid w:val="00D01CA6"/>
    <w:rsid w:val="00D03B34"/>
    <w:rsid w:val="00D161EE"/>
    <w:rsid w:val="00D26B58"/>
    <w:rsid w:val="00D37689"/>
    <w:rsid w:val="00D440AA"/>
    <w:rsid w:val="00D45D81"/>
    <w:rsid w:val="00D4668A"/>
    <w:rsid w:val="00D54750"/>
    <w:rsid w:val="00D7429D"/>
    <w:rsid w:val="00D75440"/>
    <w:rsid w:val="00D8765A"/>
    <w:rsid w:val="00D90B79"/>
    <w:rsid w:val="00D94415"/>
    <w:rsid w:val="00DA4781"/>
    <w:rsid w:val="00DA6AEB"/>
    <w:rsid w:val="00DF6C02"/>
    <w:rsid w:val="00E05FAC"/>
    <w:rsid w:val="00E1313F"/>
    <w:rsid w:val="00E17A90"/>
    <w:rsid w:val="00E358C1"/>
    <w:rsid w:val="00E3760F"/>
    <w:rsid w:val="00E469FA"/>
    <w:rsid w:val="00E46E44"/>
    <w:rsid w:val="00E64913"/>
    <w:rsid w:val="00E7366D"/>
    <w:rsid w:val="00E82330"/>
    <w:rsid w:val="00E90270"/>
    <w:rsid w:val="00E93198"/>
    <w:rsid w:val="00EA2489"/>
    <w:rsid w:val="00EA5E83"/>
    <w:rsid w:val="00EB26B6"/>
    <w:rsid w:val="00EC567A"/>
    <w:rsid w:val="00EF6025"/>
    <w:rsid w:val="00F0786D"/>
    <w:rsid w:val="00F20323"/>
    <w:rsid w:val="00F210BA"/>
    <w:rsid w:val="00F25C16"/>
    <w:rsid w:val="00F334C5"/>
    <w:rsid w:val="00F50F0F"/>
    <w:rsid w:val="00F710A4"/>
    <w:rsid w:val="00F77A6A"/>
    <w:rsid w:val="00F930B2"/>
    <w:rsid w:val="00F95C47"/>
    <w:rsid w:val="00F977B4"/>
    <w:rsid w:val="00FA2080"/>
    <w:rsid w:val="00FA4C2F"/>
    <w:rsid w:val="00FA5844"/>
    <w:rsid w:val="00FA5875"/>
    <w:rsid w:val="00FB0F74"/>
    <w:rsid w:val="00FB2404"/>
    <w:rsid w:val="00FB7AA1"/>
    <w:rsid w:val="00FC6F11"/>
    <w:rsid w:val="00FD140D"/>
    <w:rsid w:val="00FD328A"/>
    <w:rsid w:val="00FD4413"/>
    <w:rsid w:val="00FF00EF"/>
    <w:rsid w:val="00FF1838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A1641F-D870-4D0C-A77B-A43E757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qFormat/>
    <w:rsid w:val="00045616"/>
    <w:rPr>
      <w:b/>
      <w:bCs/>
    </w:rPr>
  </w:style>
  <w:style w:type="paragraph" w:styleId="aa">
    <w:name w:val="List Paragraph"/>
    <w:basedOn w:val="a"/>
    <w:uiPriority w:val="34"/>
    <w:qFormat/>
    <w:rsid w:val="00822E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6F1"/>
  </w:style>
  <w:style w:type="paragraph" w:styleId="ad">
    <w:name w:val="footer"/>
    <w:basedOn w:val="a"/>
    <w:link w:val="ae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E15B-3EAA-403F-9530-DAC8E1F6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Синельник Татьяна Викторовна</cp:lastModifiedBy>
  <cp:revision>81</cp:revision>
  <cp:lastPrinted>2018-06-14T08:32:00Z</cp:lastPrinted>
  <dcterms:created xsi:type="dcterms:W3CDTF">2018-05-23T10:03:00Z</dcterms:created>
  <dcterms:modified xsi:type="dcterms:W3CDTF">2018-06-14T08:32:00Z</dcterms:modified>
</cp:coreProperties>
</file>