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26"/>
        <w:tblW w:w="9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9"/>
        <w:gridCol w:w="1288"/>
        <w:gridCol w:w="4074"/>
      </w:tblGrid>
      <w:tr w:rsidR="000858BE" w:rsidRPr="000858BE" w:rsidTr="00251F9C">
        <w:trPr>
          <w:cantSplit/>
          <w:trHeight w:hRule="exact" w:val="1143"/>
        </w:trPr>
        <w:tc>
          <w:tcPr>
            <w:tcW w:w="4059" w:type="dxa"/>
            <w:vAlign w:val="center"/>
          </w:tcPr>
          <w:p w:rsidR="000858BE" w:rsidRPr="000858BE" w:rsidRDefault="000858BE" w:rsidP="000858BE">
            <w:pPr>
              <w:spacing w:after="0" w:line="240" w:lineRule="auto"/>
              <w:ind w:left="-142" w:right="18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ГОСУДАРСТВЕННЫЙ СОВЕТ</w:t>
            </w:r>
          </w:p>
          <w:p w:rsidR="000858BE" w:rsidRPr="000858BE" w:rsidRDefault="000858BE" w:rsidP="000858BE">
            <w:pPr>
              <w:spacing w:after="0" w:line="240" w:lineRule="auto"/>
              <w:ind w:left="-142" w:right="18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УДМУРТСКОЙ РЕСПУБЛИКИ</w:t>
            </w:r>
          </w:p>
        </w:tc>
        <w:tc>
          <w:tcPr>
            <w:tcW w:w="1288" w:type="dxa"/>
          </w:tcPr>
          <w:p w:rsidR="000858BE" w:rsidRPr="000858BE" w:rsidRDefault="000858BE" w:rsidP="000858BE">
            <w:pPr>
              <w:tabs>
                <w:tab w:val="left" w:pos="0"/>
              </w:tabs>
              <w:spacing w:after="0" w:line="240" w:lineRule="auto"/>
              <w:ind w:left="-413" w:firstLine="413"/>
              <w:jc w:val="center"/>
              <w:rPr>
                <w:rFonts w:eastAsia="Times New Roman"/>
                <w:szCs w:val="24"/>
                <w:lang w:eastAsia="ru-RU"/>
              </w:rPr>
            </w:pPr>
            <w:r w:rsidRPr="000858BE"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-805180</wp:posOffset>
                  </wp:positionV>
                  <wp:extent cx="716915" cy="735330"/>
                  <wp:effectExtent l="0" t="0" r="6985" b="7620"/>
                  <wp:wrapTight wrapText="bothSides">
                    <wp:wrapPolygon edited="0">
                      <wp:start x="0" y="0"/>
                      <wp:lineTo x="0" y="21264"/>
                      <wp:lineTo x="21236" y="21264"/>
                      <wp:lineTo x="21236" y="0"/>
                      <wp:lineTo x="0" y="0"/>
                    </wp:wrapPolygon>
                  </wp:wrapTight>
                  <wp:docPr id="1" name="Рисунок 1" descr="Gerb_udm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udm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УДМУРТ ЭЛЬКУНЫСЬ</w:t>
            </w:r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КУН КЕНЕШ</w:t>
            </w:r>
          </w:p>
        </w:tc>
      </w:tr>
      <w:tr w:rsidR="000858BE" w:rsidRPr="000858BE" w:rsidTr="00251F9C">
        <w:trPr>
          <w:trHeight w:hRule="exact" w:val="1260"/>
        </w:trPr>
        <w:tc>
          <w:tcPr>
            <w:tcW w:w="4059" w:type="dxa"/>
            <w:tcBorders>
              <w:bottom w:val="single" w:sz="4" w:space="0" w:color="auto"/>
            </w:tcBorders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b/>
                <w:sz w:val="26"/>
                <w:szCs w:val="26"/>
                <w:lang w:eastAsia="ru-RU"/>
              </w:rPr>
              <w:t>ПОСТОЯННАЯ КОМИССИЯ</w:t>
            </w:r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sz w:val="26"/>
                <w:szCs w:val="26"/>
                <w:lang w:eastAsia="ru-RU"/>
              </w:rPr>
              <w:t>по бюджету, налогам</w:t>
            </w:r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sz w:val="26"/>
                <w:szCs w:val="26"/>
                <w:lang w:eastAsia="ru-RU"/>
              </w:rPr>
              <w:t>и финансам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74" w:type="dxa"/>
            <w:tcBorders>
              <w:bottom w:val="single" w:sz="4" w:space="0" w:color="auto"/>
            </w:tcBorders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</w:pPr>
            <w:proofErr w:type="spellStart"/>
            <w:r w:rsidRPr="000858BE"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  <w:t>Бюджетъя</w:t>
            </w:r>
            <w:proofErr w:type="spellEnd"/>
            <w:r w:rsidRPr="000858BE"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858BE"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  <w:t>вытъёсъя</w:t>
            </w:r>
            <w:proofErr w:type="spellEnd"/>
            <w:r w:rsidRPr="000858BE"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  <w:t xml:space="preserve"> но </w:t>
            </w:r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</w:pPr>
            <w:proofErr w:type="spellStart"/>
            <w:r w:rsidRPr="000858BE"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  <w:t>коньдон</w:t>
            </w:r>
            <w:proofErr w:type="spellEnd"/>
            <w:r w:rsidRPr="000858BE"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858BE">
              <w:rPr>
                <w:rFonts w:ascii="Times New Roman Udm" w:eastAsia="Times New Roman" w:hAnsi="Times New Roman Udm" w:cs="Times New Roman Udm"/>
                <w:sz w:val="26"/>
                <w:szCs w:val="26"/>
                <w:lang w:eastAsia="ru-RU"/>
              </w:rPr>
              <w:t>ужпумъёсъя</w:t>
            </w:r>
            <w:proofErr w:type="spellEnd"/>
          </w:p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b/>
                <w:sz w:val="26"/>
                <w:szCs w:val="26"/>
                <w:lang w:eastAsia="ru-RU"/>
              </w:rPr>
              <w:t>ЯЛАН УЖАСЬ ӦРИ</w:t>
            </w:r>
          </w:p>
        </w:tc>
      </w:tr>
      <w:tr w:rsidR="000858BE" w:rsidRPr="000858BE" w:rsidTr="00251F9C">
        <w:tc>
          <w:tcPr>
            <w:tcW w:w="4059" w:type="dxa"/>
            <w:tcBorders>
              <w:top w:val="single" w:sz="4" w:space="0" w:color="auto"/>
            </w:tcBorders>
            <w:vAlign w:val="center"/>
          </w:tcPr>
          <w:p w:rsidR="000858BE" w:rsidRPr="000858BE" w:rsidRDefault="000858BE" w:rsidP="000858BE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lang w:eastAsia="ru-RU"/>
              </w:rPr>
              <w:t>____ ___________ ____ г.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0858BE" w:rsidRPr="000858BE" w:rsidRDefault="000858BE" w:rsidP="000858BE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</w:tcBorders>
            <w:vAlign w:val="center"/>
          </w:tcPr>
          <w:p w:rsidR="000858BE" w:rsidRPr="000858BE" w:rsidRDefault="000858BE" w:rsidP="000858B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0858BE" w:rsidRPr="000858BE" w:rsidRDefault="000858BE" w:rsidP="000858BE">
            <w:pPr>
              <w:spacing w:after="0" w:line="240" w:lineRule="auto"/>
              <w:jc w:val="right"/>
              <w:rPr>
                <w:rFonts w:ascii="Times New Roman Udm" w:eastAsia="Times New Roman" w:hAnsi="Times New Roman Udm" w:cs="Times New Roman Udm"/>
                <w:lang w:eastAsia="ru-RU"/>
              </w:rPr>
            </w:pPr>
            <w:r w:rsidRPr="000858BE">
              <w:rPr>
                <w:rFonts w:eastAsia="Times New Roman"/>
                <w:lang w:eastAsia="ru-RU"/>
              </w:rPr>
              <w:t>№ ___________</w:t>
            </w:r>
          </w:p>
        </w:tc>
      </w:tr>
      <w:tr w:rsidR="000858BE" w:rsidRPr="000858BE" w:rsidTr="00251F9C">
        <w:tc>
          <w:tcPr>
            <w:tcW w:w="9421" w:type="dxa"/>
            <w:gridSpan w:val="3"/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ascii="Times New Roman Udm" w:eastAsia="Times New Roman" w:hAnsi="Times New Roman Udm" w:cs="Times New Roman Udm"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г. Ижевск</w:t>
            </w:r>
          </w:p>
        </w:tc>
      </w:tr>
      <w:tr w:rsidR="000858BE" w:rsidRPr="000858BE" w:rsidTr="00251F9C">
        <w:tc>
          <w:tcPr>
            <w:tcW w:w="9421" w:type="dxa"/>
            <w:gridSpan w:val="3"/>
            <w:vAlign w:val="center"/>
          </w:tcPr>
          <w:p w:rsidR="000858BE" w:rsidRPr="000858BE" w:rsidRDefault="000858BE" w:rsidP="000858B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00F81" w:rsidRDefault="00200F81" w:rsidP="00E7423D">
      <w:pPr>
        <w:spacing w:after="0" w:line="240" w:lineRule="auto"/>
        <w:jc w:val="right"/>
        <w:rPr>
          <w:i/>
        </w:rPr>
      </w:pPr>
    </w:p>
    <w:p w:rsidR="00517577" w:rsidRDefault="00517577" w:rsidP="00743B0C">
      <w:pPr>
        <w:ind w:left="720" w:right="616" w:firstLine="1"/>
        <w:jc w:val="center"/>
        <w:rPr>
          <w:b/>
        </w:rPr>
      </w:pPr>
      <w:bookmarkStart w:id="0" w:name="OLE_LINK9"/>
      <w:bookmarkStart w:id="1" w:name="OLE_LINK8"/>
      <w:bookmarkStart w:id="2" w:name="_GoBack"/>
      <w:bookmarkEnd w:id="2"/>
    </w:p>
    <w:p w:rsidR="00743B0C" w:rsidRDefault="00743B0C" w:rsidP="00743B0C">
      <w:pPr>
        <w:ind w:left="720" w:right="616" w:firstLine="1"/>
        <w:jc w:val="center"/>
        <w:rPr>
          <w:b/>
        </w:rPr>
      </w:pPr>
      <w:r>
        <w:rPr>
          <w:b/>
        </w:rPr>
        <w:t>ЗАКЛЮЧЕНИЕ</w:t>
      </w:r>
    </w:p>
    <w:p w:rsidR="00F930B2" w:rsidRPr="00A73D9B" w:rsidRDefault="00B617CC" w:rsidP="00743B0C">
      <w:pPr>
        <w:spacing w:after="0" w:line="240" w:lineRule="auto"/>
        <w:jc w:val="center"/>
        <w:rPr>
          <w:b/>
        </w:rPr>
      </w:pPr>
      <w:r>
        <w:rPr>
          <w:b/>
        </w:rPr>
        <w:t>на проект закона Удмуртской Республики «О бюджете Территориального фонда обязательного медицинского страхования Удмуртской Республики на 20</w:t>
      </w:r>
      <w:r w:rsidR="00FD20E5">
        <w:rPr>
          <w:b/>
        </w:rPr>
        <w:t>20</w:t>
      </w:r>
      <w:r>
        <w:rPr>
          <w:b/>
        </w:rPr>
        <w:t xml:space="preserve"> год и на плановый период </w:t>
      </w:r>
      <w:r w:rsidR="00E162DF">
        <w:rPr>
          <w:b/>
        </w:rPr>
        <w:t xml:space="preserve">                               </w:t>
      </w:r>
      <w:r>
        <w:rPr>
          <w:b/>
        </w:rPr>
        <w:t>20</w:t>
      </w:r>
      <w:r w:rsidR="00E162DF">
        <w:rPr>
          <w:b/>
        </w:rPr>
        <w:t>2</w:t>
      </w:r>
      <w:r w:rsidR="00FD20E5">
        <w:rPr>
          <w:b/>
        </w:rPr>
        <w:t>1</w:t>
      </w:r>
      <w:r>
        <w:rPr>
          <w:b/>
        </w:rPr>
        <w:t xml:space="preserve"> и 20</w:t>
      </w:r>
      <w:r w:rsidR="00E162DF">
        <w:rPr>
          <w:b/>
        </w:rPr>
        <w:t>2</w:t>
      </w:r>
      <w:r w:rsidR="00FD20E5">
        <w:rPr>
          <w:b/>
        </w:rPr>
        <w:t>2</w:t>
      </w:r>
      <w:r w:rsidR="008A1EBD">
        <w:rPr>
          <w:b/>
        </w:rPr>
        <w:t xml:space="preserve"> </w:t>
      </w:r>
      <w:r>
        <w:rPr>
          <w:b/>
        </w:rPr>
        <w:t xml:space="preserve">годов» № </w:t>
      </w:r>
      <w:r w:rsidR="005328A6" w:rsidRPr="005328A6">
        <w:rPr>
          <w:b/>
        </w:rPr>
        <w:t>7</w:t>
      </w:r>
      <w:r w:rsidR="00534DDD">
        <w:rPr>
          <w:b/>
        </w:rPr>
        <w:t>780</w:t>
      </w:r>
      <w:r>
        <w:rPr>
          <w:b/>
        </w:rPr>
        <w:t>-</w:t>
      </w:r>
      <w:r w:rsidR="008A1EBD">
        <w:rPr>
          <w:b/>
        </w:rPr>
        <w:t>6</w:t>
      </w:r>
      <w:r>
        <w:rPr>
          <w:b/>
        </w:rPr>
        <w:t>зп</w:t>
      </w:r>
      <w:r w:rsidR="00E7423D">
        <w:rPr>
          <w:b/>
        </w:rPr>
        <w:t xml:space="preserve"> </w:t>
      </w:r>
      <w:bookmarkEnd w:id="0"/>
      <w:bookmarkEnd w:id="1"/>
    </w:p>
    <w:p w:rsidR="00F930B2" w:rsidRDefault="00F930B2" w:rsidP="002A1B64">
      <w:pPr>
        <w:spacing w:after="0" w:line="240" w:lineRule="auto"/>
        <w:ind w:firstLine="709"/>
        <w:jc w:val="both"/>
      </w:pPr>
    </w:p>
    <w:p w:rsidR="00271005" w:rsidRPr="00534DDD" w:rsidRDefault="00F930B2" w:rsidP="008C79A9">
      <w:pPr>
        <w:spacing w:after="0"/>
        <w:ind w:firstLine="709"/>
        <w:jc w:val="both"/>
      </w:pPr>
      <w:r w:rsidRPr="00534DDD">
        <w:t>Постоянная комиссия Государственного Совета Удмуртской Республики по бюджету, налогам и финансам</w:t>
      </w:r>
      <w:r w:rsidR="00FC1BE3" w:rsidRPr="00534DDD">
        <w:t xml:space="preserve"> (далее – Комиссия)</w:t>
      </w:r>
      <w:r w:rsidR="00DD61E0" w:rsidRPr="00534DDD">
        <w:t>,</w:t>
      </w:r>
      <w:r w:rsidRPr="00534DDD">
        <w:t xml:space="preserve"> </w:t>
      </w:r>
      <w:r w:rsidR="00DD61E0" w:rsidRPr="00534DDD">
        <w:t xml:space="preserve">рассмотрев проект закона Удмуртской Республики </w:t>
      </w:r>
      <w:r w:rsidR="00B617CC" w:rsidRPr="00534DDD">
        <w:t xml:space="preserve">№ </w:t>
      </w:r>
      <w:r w:rsidR="00534DDD" w:rsidRPr="00534DDD">
        <w:t>7780</w:t>
      </w:r>
      <w:r w:rsidR="00B617CC" w:rsidRPr="00534DDD">
        <w:t>-</w:t>
      </w:r>
      <w:r w:rsidR="008A1EBD" w:rsidRPr="00534DDD">
        <w:t>6</w:t>
      </w:r>
      <w:r w:rsidR="00B617CC" w:rsidRPr="00534DDD">
        <w:t>зп «О бюджете Территориального фонда обязательного медицинского страхования Удмуртской Республики на 20</w:t>
      </w:r>
      <w:r w:rsidR="00534DDD" w:rsidRPr="00534DDD">
        <w:t>20</w:t>
      </w:r>
      <w:r w:rsidR="00B617CC" w:rsidRPr="00534DDD">
        <w:t xml:space="preserve"> год и на плановый период 20</w:t>
      </w:r>
      <w:r w:rsidR="00FB57F9" w:rsidRPr="00534DDD">
        <w:t>2</w:t>
      </w:r>
      <w:r w:rsidR="00534DDD" w:rsidRPr="00534DDD">
        <w:t>1</w:t>
      </w:r>
      <w:r w:rsidR="00B617CC" w:rsidRPr="00534DDD">
        <w:t xml:space="preserve"> и 20</w:t>
      </w:r>
      <w:r w:rsidR="008A1EBD" w:rsidRPr="00534DDD">
        <w:t>2</w:t>
      </w:r>
      <w:r w:rsidR="00534DDD" w:rsidRPr="00534DDD">
        <w:t>2</w:t>
      </w:r>
      <w:r w:rsidR="00B617CC" w:rsidRPr="00534DDD">
        <w:t xml:space="preserve"> годов»</w:t>
      </w:r>
      <w:r w:rsidR="00DD61E0" w:rsidRPr="00534DDD">
        <w:t xml:space="preserve"> (далее – </w:t>
      </w:r>
      <w:r w:rsidR="00534DDD" w:rsidRPr="00534DDD">
        <w:t>З</w:t>
      </w:r>
      <w:r w:rsidR="00063AEE" w:rsidRPr="00534DDD">
        <w:t>аконо</w:t>
      </w:r>
      <w:r w:rsidR="005A04E2">
        <w:t xml:space="preserve">проект), внесённый </w:t>
      </w:r>
      <w:r w:rsidR="005A04E2" w:rsidRPr="005A04E2">
        <w:t>Правительством Удмуртской Республики</w:t>
      </w:r>
      <w:r w:rsidR="005A04E2">
        <w:t>,</w:t>
      </w:r>
      <w:r w:rsidR="005A04E2" w:rsidRPr="005A04E2">
        <w:t xml:space="preserve"> </w:t>
      </w:r>
      <w:r w:rsidR="00DD61E0" w:rsidRPr="00534DDD">
        <w:t>сообщает следующее.</w:t>
      </w:r>
    </w:p>
    <w:p w:rsidR="00BA2939" w:rsidRPr="00534DDD" w:rsidRDefault="00136ADA" w:rsidP="008C79A9">
      <w:pPr>
        <w:spacing w:after="0"/>
        <w:ind w:firstLine="709"/>
        <w:jc w:val="both"/>
      </w:pPr>
      <w:r w:rsidRPr="00534DDD">
        <w:t xml:space="preserve">Бюджет Территориального фонда обязательного медицинского </w:t>
      </w:r>
      <w:proofErr w:type="gramStart"/>
      <w:r w:rsidRPr="00534DDD">
        <w:t>страхования Удмуртской Республики (далее – Фонд) на 20</w:t>
      </w:r>
      <w:r w:rsidR="00534DDD" w:rsidRPr="00534DDD">
        <w:t>20</w:t>
      </w:r>
      <w:r w:rsidRPr="00534DDD">
        <w:t xml:space="preserve"> год и на плановый период 20</w:t>
      </w:r>
      <w:r w:rsidR="00FB57F9" w:rsidRPr="00534DDD">
        <w:t>2</w:t>
      </w:r>
      <w:r w:rsidR="00534DDD" w:rsidRPr="00534DDD">
        <w:t>1</w:t>
      </w:r>
      <w:r w:rsidRPr="00534DDD">
        <w:t xml:space="preserve"> и 20</w:t>
      </w:r>
      <w:r w:rsidR="008A1EBD" w:rsidRPr="00534DDD">
        <w:t>2</w:t>
      </w:r>
      <w:r w:rsidR="00534DDD" w:rsidRPr="00534DDD">
        <w:t>2</w:t>
      </w:r>
      <w:r w:rsidRPr="00534DDD">
        <w:t xml:space="preserve"> годов </w:t>
      </w:r>
      <w:r w:rsidR="006115D4">
        <w:t xml:space="preserve">подготовлен </w:t>
      </w:r>
      <w:r w:rsidR="00D572BA" w:rsidRPr="00534DDD">
        <w:t>в соответстви</w:t>
      </w:r>
      <w:r w:rsidR="00A7458C" w:rsidRPr="00534DDD">
        <w:t>и</w:t>
      </w:r>
      <w:r w:rsidRPr="00534DDD">
        <w:t xml:space="preserve"> </w:t>
      </w:r>
      <w:r w:rsidR="00A7458C" w:rsidRPr="00534DDD">
        <w:t xml:space="preserve">с </w:t>
      </w:r>
      <w:r w:rsidRPr="00534DDD">
        <w:t>Бюджетн</w:t>
      </w:r>
      <w:r w:rsidR="00D572BA" w:rsidRPr="00534DDD">
        <w:t>ым</w:t>
      </w:r>
      <w:r w:rsidRPr="00534DDD">
        <w:t xml:space="preserve"> кодекс</w:t>
      </w:r>
      <w:r w:rsidR="00D572BA" w:rsidRPr="00534DDD">
        <w:t>ом</w:t>
      </w:r>
      <w:r w:rsidRPr="00534DDD">
        <w:t xml:space="preserve"> Российской Федерации, </w:t>
      </w:r>
      <w:r w:rsidR="00667413" w:rsidRPr="00534DDD">
        <w:t>Федеральным законом от 29.11.2010</w:t>
      </w:r>
      <w:r w:rsidR="00D87C5C" w:rsidRPr="00534DDD">
        <w:t xml:space="preserve"> года</w:t>
      </w:r>
      <w:r w:rsidR="00667413" w:rsidRPr="00534DDD">
        <w:t xml:space="preserve"> № 326-ФЗ «Об обязательном медицинском страховании в Российской Федерации»</w:t>
      </w:r>
      <w:r w:rsidR="00B97D4F" w:rsidRPr="00534DDD">
        <w:t xml:space="preserve"> (далее – Федеральный </w:t>
      </w:r>
      <w:r w:rsidR="00B80900" w:rsidRPr="00534DDD">
        <w:t>з</w:t>
      </w:r>
      <w:r w:rsidR="00B97D4F" w:rsidRPr="00534DDD">
        <w:t>акон № 326-ФЗ)</w:t>
      </w:r>
      <w:r w:rsidR="00667413" w:rsidRPr="00534DDD">
        <w:t>,</w:t>
      </w:r>
      <w:r w:rsidR="00667413" w:rsidRPr="00534DDD">
        <w:rPr>
          <w:sz w:val="27"/>
          <w:szCs w:val="27"/>
        </w:rPr>
        <w:t xml:space="preserve"> </w:t>
      </w:r>
      <w:r w:rsidRPr="00534DDD">
        <w:t>Законом Удмуртской Республики от 22.05.2008 № 18-РЗ «О бюджетном процессе в Удмуртской Республике»</w:t>
      </w:r>
      <w:r w:rsidR="00BA2939" w:rsidRPr="00534DDD">
        <w:t xml:space="preserve">, постановлением Правительства </w:t>
      </w:r>
      <w:proofErr w:type="gramEnd"/>
      <w:r w:rsidR="00BA2939" w:rsidRPr="00534DDD">
        <w:t xml:space="preserve">Удмуртской Республики от 26.01.2015 № 14 «О порядке </w:t>
      </w:r>
      <w:proofErr w:type="gramStart"/>
      <w:r w:rsidR="00BA2939" w:rsidRPr="00534DDD">
        <w:t>составления проекта бюджета Территориального фонда обязательного медицинского страхования Удмуртской Республики</w:t>
      </w:r>
      <w:proofErr w:type="gramEnd"/>
      <w:r w:rsidR="00BA2939" w:rsidRPr="00534DDD">
        <w:t>».</w:t>
      </w:r>
    </w:p>
    <w:p w:rsidR="00136ADA" w:rsidRPr="00534DDD" w:rsidRDefault="00136ADA" w:rsidP="008C79A9">
      <w:pPr>
        <w:spacing w:after="0"/>
        <w:ind w:firstLine="709"/>
        <w:jc w:val="both"/>
      </w:pPr>
      <w:r w:rsidRPr="00534DDD">
        <w:t xml:space="preserve">Основные </w:t>
      </w:r>
      <w:r w:rsidR="00BA2939" w:rsidRPr="00534DDD">
        <w:t>параметры</w:t>
      </w:r>
      <w:r w:rsidRPr="00534DDD">
        <w:t xml:space="preserve"> проекта бюджета Фонда на 20</w:t>
      </w:r>
      <w:r w:rsidR="00534DDD" w:rsidRPr="00534DDD">
        <w:t>20</w:t>
      </w:r>
      <w:r w:rsidRPr="00534DDD">
        <w:t xml:space="preserve"> год и на плановый период 20</w:t>
      </w:r>
      <w:r w:rsidR="009A215C" w:rsidRPr="00534DDD">
        <w:t>2</w:t>
      </w:r>
      <w:r w:rsidR="00534DDD" w:rsidRPr="00534DDD">
        <w:t>1</w:t>
      </w:r>
      <w:r w:rsidRPr="00534DDD">
        <w:t xml:space="preserve"> и 20</w:t>
      </w:r>
      <w:r w:rsidR="008A1EBD" w:rsidRPr="00534DDD">
        <w:t>2</w:t>
      </w:r>
      <w:r w:rsidR="00534DDD" w:rsidRPr="00534DDD">
        <w:t>2</w:t>
      </w:r>
      <w:r w:rsidRPr="00534DDD">
        <w:t xml:space="preserve"> годов представлены в </w:t>
      </w:r>
      <w:r w:rsidR="00DA5528" w:rsidRPr="00534DDD">
        <w:t>таблице</w:t>
      </w:r>
      <w:r w:rsidR="006C58B7" w:rsidRPr="00534DDD">
        <w:t xml:space="preserve"> 1</w:t>
      </w:r>
      <w:r w:rsidRPr="00534DDD">
        <w:t>.</w:t>
      </w:r>
    </w:p>
    <w:p w:rsidR="00A979C4" w:rsidRPr="00FD20E5" w:rsidRDefault="00A979C4" w:rsidP="006808F0">
      <w:pPr>
        <w:spacing w:after="0"/>
        <w:ind w:firstLine="709"/>
        <w:jc w:val="right"/>
        <w:rPr>
          <w:highlight w:val="yellow"/>
        </w:rPr>
      </w:pPr>
    </w:p>
    <w:p w:rsidR="00A979C4" w:rsidRPr="00FD20E5" w:rsidRDefault="00A979C4" w:rsidP="006808F0">
      <w:pPr>
        <w:spacing w:after="0"/>
        <w:ind w:firstLine="709"/>
        <w:jc w:val="right"/>
        <w:rPr>
          <w:highlight w:val="yellow"/>
        </w:rPr>
      </w:pPr>
    </w:p>
    <w:p w:rsidR="006808F0" w:rsidRPr="00197410" w:rsidRDefault="006808F0" w:rsidP="006808F0">
      <w:pPr>
        <w:spacing w:after="0"/>
        <w:ind w:firstLine="709"/>
        <w:jc w:val="right"/>
      </w:pPr>
      <w:r w:rsidRPr="00197410">
        <w:lastRenderedPageBreak/>
        <w:t>Таблица 1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851"/>
        <w:gridCol w:w="1417"/>
        <w:gridCol w:w="1418"/>
      </w:tblGrid>
      <w:tr w:rsidR="00562DD6" w:rsidRPr="00FD20E5" w:rsidTr="00562DD6">
        <w:trPr>
          <w:cantSplit/>
          <w:trHeight w:val="760"/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D6" w:rsidRPr="00197410" w:rsidRDefault="00562DD6" w:rsidP="006808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74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статей БК</w:t>
            </w:r>
          </w:p>
          <w:p w:rsidR="00562DD6" w:rsidRPr="00197410" w:rsidRDefault="00562DD6" w:rsidP="006808F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74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562DD6" w:rsidRPr="00197410" w:rsidRDefault="00562DD6" w:rsidP="006808F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74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562DD6" w:rsidRPr="00FD20E5" w:rsidRDefault="00562DD6" w:rsidP="006808F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19741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D6" w:rsidRPr="00FD20E5" w:rsidRDefault="00562DD6" w:rsidP="008966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1974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Утверждено Законом о бюджете                 ТФОМС УР                на 2019 год </w:t>
            </w:r>
            <w:r w:rsidRPr="00FD20E5"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ru-RU"/>
              </w:rPr>
              <w:t xml:space="preserve">              </w:t>
            </w:r>
            <w:r w:rsidRPr="001974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от 25.12.2018                № 95-РЗ                             (в ред. Закона УР                                от 08.07.2019                   </w:t>
            </w:r>
            <w:r w:rsidRPr="0089663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№ 31-РЗ) 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D6" w:rsidRDefault="00562DD6" w:rsidP="006808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74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Проект бюджета ТФОМС УР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</w:p>
          <w:p w:rsidR="00562DD6" w:rsidRPr="00197410" w:rsidRDefault="00562DD6" w:rsidP="006808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</w:tr>
      <w:tr w:rsidR="00562DD6" w:rsidRPr="00FD20E5" w:rsidTr="00562DD6">
        <w:trPr>
          <w:cantSplit/>
          <w:trHeight w:val="920"/>
          <w:tblHeader/>
        </w:trPr>
        <w:tc>
          <w:tcPr>
            <w:tcW w:w="30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D6" w:rsidRPr="00FD20E5" w:rsidRDefault="00562DD6" w:rsidP="006808F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D6" w:rsidRPr="00FD20E5" w:rsidRDefault="00562DD6" w:rsidP="006808F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D6" w:rsidRPr="00197410" w:rsidRDefault="00562DD6" w:rsidP="006808F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74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562DD6" w:rsidRPr="00197410" w:rsidRDefault="00562DD6" w:rsidP="006808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74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  <w:p w:rsidR="00562DD6" w:rsidRPr="00197410" w:rsidRDefault="00562DD6" w:rsidP="006808F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741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D6" w:rsidRPr="00197410" w:rsidRDefault="00562DD6" w:rsidP="00D654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74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Темп роста к 2019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D6" w:rsidRPr="00197410" w:rsidRDefault="00562DD6" w:rsidP="006808F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74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562DD6" w:rsidRPr="00197410" w:rsidRDefault="00562DD6" w:rsidP="006808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74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  <w:p w:rsidR="00562DD6" w:rsidRPr="00197410" w:rsidRDefault="00562DD6" w:rsidP="006808F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741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D6" w:rsidRPr="00197410" w:rsidRDefault="00562DD6" w:rsidP="006808F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74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562DD6" w:rsidRPr="00197410" w:rsidRDefault="00562DD6" w:rsidP="006808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74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  <w:p w:rsidR="00562DD6" w:rsidRPr="00197410" w:rsidRDefault="00562DD6" w:rsidP="006808F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741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C057B" w:rsidRPr="00FD20E5" w:rsidTr="003E06A6">
        <w:trPr>
          <w:trHeight w:val="3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B" w:rsidRPr="00B02763" w:rsidRDefault="006C057B" w:rsidP="006C057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ДОХОДЫ</w:t>
            </w:r>
            <w:r w:rsidR="003E06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 учетом остатка на начало года: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B" w:rsidRPr="00B02763" w:rsidRDefault="006C057B" w:rsidP="003E06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0276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20 </w:t>
            </w:r>
            <w:r w:rsidR="003E06A6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557</w:t>
            </w:r>
            <w:r w:rsidRPr="00B0276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  <w:r w:rsidR="003E06A6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196</w:t>
            </w:r>
            <w:r w:rsidRPr="00B0276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,</w:t>
            </w:r>
            <w:r w:rsidR="003E06A6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B" w:rsidRPr="00FA1667" w:rsidRDefault="006C057B" w:rsidP="003E06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B" w:rsidRPr="00CF072E" w:rsidRDefault="006C057B" w:rsidP="003E06A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B" w:rsidRPr="00FA1667" w:rsidRDefault="006C057B" w:rsidP="003E06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B" w:rsidRPr="00FA1667" w:rsidRDefault="006C057B" w:rsidP="003E06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E06A6" w:rsidRPr="00FD20E5" w:rsidTr="003E06A6">
        <w:trPr>
          <w:trHeight w:val="3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6" w:rsidRPr="003E06A6" w:rsidRDefault="003E06A6" w:rsidP="003E06A6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3E06A6">
              <w:rPr>
                <w:rFonts w:eastAsia="Times New Roman"/>
                <w:i/>
                <w:sz w:val="24"/>
                <w:szCs w:val="24"/>
                <w:lang w:eastAsia="ru-RU"/>
              </w:rPr>
              <w:t>Остаток на начало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6" w:rsidRPr="003E06A6" w:rsidRDefault="003E06A6" w:rsidP="003E06A6">
            <w:pPr>
              <w:spacing w:after="0" w:line="240" w:lineRule="auto"/>
              <w:jc w:val="center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3E06A6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109 894,5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6" w:rsidRPr="003E06A6" w:rsidRDefault="003E06A6" w:rsidP="003E06A6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6" w:rsidRPr="003E06A6" w:rsidRDefault="003E06A6" w:rsidP="003E06A6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6" w:rsidRPr="003E06A6" w:rsidRDefault="003E06A6" w:rsidP="003E06A6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6" w:rsidRPr="003E06A6" w:rsidRDefault="003E06A6" w:rsidP="003E06A6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</w:p>
        </w:tc>
      </w:tr>
      <w:tr w:rsidR="003E06A6" w:rsidRPr="00FD20E5" w:rsidTr="006C057B">
        <w:trPr>
          <w:trHeight w:val="3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E06A6" w:rsidRPr="005267C6" w:rsidRDefault="003E06A6" w:rsidP="003E06A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E06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ДОХОДЫ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E06A6" w:rsidRPr="00B02763" w:rsidRDefault="003E06A6" w:rsidP="003E06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0276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20 447 301,9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E06A6" w:rsidRPr="00FA1667" w:rsidRDefault="003E06A6" w:rsidP="003E06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21 961 556,1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E06A6" w:rsidRPr="00CF072E" w:rsidRDefault="003E06A6" w:rsidP="003E06A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E06A6" w:rsidRPr="00FA1667" w:rsidRDefault="003E06A6" w:rsidP="003E06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A166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23 277 586,6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E06A6" w:rsidRPr="00FA1667" w:rsidRDefault="003E06A6" w:rsidP="003E06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A166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24 539 420,1</w:t>
            </w:r>
          </w:p>
        </w:tc>
      </w:tr>
      <w:tr w:rsidR="003E06A6" w:rsidRPr="00FD20E5" w:rsidTr="00562DD6">
        <w:trPr>
          <w:trHeight w:val="3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5027AB" w:rsidRDefault="003E06A6" w:rsidP="006808F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27A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Налоговые и неналоговые доходы, </w:t>
            </w:r>
            <w:r w:rsidRPr="005027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5027AB" w:rsidRDefault="003E06A6" w:rsidP="006808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5027A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45 500,0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FD20E5" w:rsidRDefault="003E06A6" w:rsidP="006808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5027A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62 000,0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6" w:rsidRPr="00CF072E" w:rsidRDefault="003E06A6" w:rsidP="006808F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72E">
              <w:rPr>
                <w:rFonts w:eastAsia="Times New Roman"/>
                <w:b/>
                <w:sz w:val="22"/>
                <w:szCs w:val="22"/>
                <w:lang w:eastAsia="ru-RU"/>
              </w:rPr>
              <w:t>136,3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8D1E8D" w:rsidRDefault="003E06A6" w:rsidP="006808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D1E8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62 000,0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8D1E8D" w:rsidRDefault="003E06A6" w:rsidP="006808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D1E8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62 000,0</w:t>
            </w:r>
          </w:p>
        </w:tc>
      </w:tr>
      <w:tr w:rsidR="003E06A6" w:rsidRPr="00FD20E5" w:rsidTr="00562DD6">
        <w:trPr>
          <w:trHeight w:val="3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5027AB" w:rsidRDefault="003E06A6" w:rsidP="00521E5D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</w:t>
            </w:r>
            <w:r w:rsidRPr="00B01A07">
              <w:rPr>
                <w:rFonts w:eastAsia="Times New Roman"/>
                <w:bCs/>
                <w:sz w:val="24"/>
                <w:szCs w:val="24"/>
                <w:lang w:eastAsia="ru-RU"/>
              </w:rPr>
              <w:t>рочие доходы от компенсации затрат бюджетов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27A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ТФОМС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5027AB" w:rsidRDefault="003E06A6" w:rsidP="006808F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5027AB">
              <w:rPr>
                <w:rFonts w:eastAsia="Times New Roman"/>
                <w:bCs/>
                <w:sz w:val="22"/>
                <w:szCs w:val="22"/>
                <w:lang w:eastAsia="ru-RU"/>
              </w:rPr>
              <w:t>44 000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Default="003E06A6" w:rsidP="006808F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  <w:p w:rsidR="003E06A6" w:rsidRPr="005027AB" w:rsidRDefault="003E06A6" w:rsidP="006808F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6" w:rsidRPr="00CF072E" w:rsidRDefault="003E06A6" w:rsidP="006808F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5027AB" w:rsidRDefault="003E06A6" w:rsidP="006808F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5027AB" w:rsidRDefault="003E06A6" w:rsidP="006808F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-</w:t>
            </w:r>
          </w:p>
        </w:tc>
      </w:tr>
      <w:tr w:rsidR="003E06A6" w:rsidRPr="00FD20E5" w:rsidTr="00562DD6">
        <w:trPr>
          <w:trHeight w:val="3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5027AB" w:rsidRDefault="003E06A6" w:rsidP="006808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027A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доходы от реализации имущества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5027AB" w:rsidRDefault="003E06A6" w:rsidP="006808F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5027AB">
              <w:rPr>
                <w:rFonts w:eastAsia="Times New Roman"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5027AB" w:rsidRDefault="003E06A6" w:rsidP="006808F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6" w:rsidRPr="00CF072E" w:rsidRDefault="003E06A6" w:rsidP="006808F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6" w:rsidRPr="005027AB" w:rsidRDefault="003E06A6" w:rsidP="006808F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6" w:rsidRPr="00FD20E5" w:rsidRDefault="003E06A6" w:rsidP="006808F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highlight w:val="yellow"/>
                <w:lang w:eastAsia="ru-RU"/>
              </w:rPr>
            </w:pPr>
            <w:r w:rsidRPr="007B1797">
              <w:rPr>
                <w:rFonts w:eastAsia="Times New Roman"/>
                <w:bCs/>
                <w:sz w:val="22"/>
                <w:szCs w:val="22"/>
                <w:lang w:eastAsia="ru-RU"/>
              </w:rPr>
              <w:t>-</w:t>
            </w:r>
          </w:p>
        </w:tc>
      </w:tr>
      <w:tr w:rsidR="003E06A6" w:rsidRPr="00FD20E5" w:rsidTr="00562DD6">
        <w:trPr>
          <w:trHeight w:val="4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6A6" w:rsidRPr="005027AB" w:rsidRDefault="003E06A6" w:rsidP="006808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027A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штрафы, санкции, возмещение ущерба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5027AB" w:rsidRDefault="003E06A6" w:rsidP="006808F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5027AB">
              <w:rPr>
                <w:rFonts w:eastAsia="Times New Roman"/>
                <w:bCs/>
                <w:sz w:val="22"/>
                <w:szCs w:val="22"/>
                <w:lang w:eastAsia="ru-RU"/>
              </w:rPr>
              <w:t>1 500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5027AB" w:rsidRDefault="003E06A6" w:rsidP="006808F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62 000</w:t>
            </w:r>
            <w:r w:rsidRPr="005027AB">
              <w:rPr>
                <w:rFonts w:eastAsia="Times New Roman"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6" w:rsidRPr="00B740EC" w:rsidRDefault="003E06A6" w:rsidP="006808F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5027AB" w:rsidRDefault="003E06A6" w:rsidP="006808F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62 000,0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5027AB" w:rsidRDefault="003E06A6" w:rsidP="006808F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62 000,0</w:t>
            </w:r>
          </w:p>
        </w:tc>
      </w:tr>
      <w:tr w:rsidR="003E06A6" w:rsidRPr="00FD20E5" w:rsidTr="00562DD6">
        <w:trPr>
          <w:trHeight w:val="3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6A6" w:rsidRPr="005027AB" w:rsidRDefault="003E06A6" w:rsidP="006808F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027A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5027AB" w:rsidRDefault="003E06A6" w:rsidP="006808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5027A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20 401 801,9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E87839" w:rsidRDefault="003E06A6" w:rsidP="006808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8783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21 899 556,1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6" w:rsidRPr="00CF072E" w:rsidRDefault="003E06A6" w:rsidP="006808F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E87839" w:rsidRDefault="003E06A6" w:rsidP="006808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8783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23 215 586,6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E87839" w:rsidRDefault="003E06A6" w:rsidP="006808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8783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24 477 420,1</w:t>
            </w:r>
          </w:p>
        </w:tc>
      </w:tr>
      <w:tr w:rsidR="003E06A6" w:rsidRPr="00FD20E5" w:rsidTr="00562DD6">
        <w:trPr>
          <w:trHeight w:val="4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6A6" w:rsidRPr="005027AB" w:rsidRDefault="003E06A6" w:rsidP="005027A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027AB">
              <w:rPr>
                <w:rFonts w:eastAsia="Times New Roman"/>
                <w:bCs/>
                <w:sz w:val="24"/>
                <w:szCs w:val="24"/>
                <w:lang w:eastAsia="ru-RU"/>
              </w:rPr>
              <w:t>Субвенции бюджетам ТФОМС на финансовое обеспечение организации ОМС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5027AB" w:rsidRDefault="003E06A6" w:rsidP="006808F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  <w:r w:rsidRPr="005027AB">
              <w:rPr>
                <w:rFonts w:eastAsia="Times New Roman"/>
                <w:bCs/>
                <w:sz w:val="22"/>
                <w:szCs w:val="22"/>
                <w:lang w:eastAsia="ru-RU"/>
              </w:rPr>
              <w:t>0 051 857,5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E87839" w:rsidRDefault="003E06A6" w:rsidP="006808F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87839">
              <w:rPr>
                <w:rFonts w:eastAsia="Times New Roman"/>
                <w:bCs/>
                <w:sz w:val="22"/>
                <w:szCs w:val="22"/>
                <w:lang w:eastAsia="ru-RU"/>
              </w:rPr>
              <w:t>21 464 556,1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6" w:rsidRPr="00CF072E" w:rsidRDefault="003E06A6" w:rsidP="006808F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E87839" w:rsidRDefault="003E06A6" w:rsidP="006808F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87839">
              <w:rPr>
                <w:rFonts w:eastAsia="Times New Roman"/>
                <w:bCs/>
                <w:sz w:val="22"/>
                <w:szCs w:val="22"/>
                <w:lang w:eastAsia="ru-RU"/>
              </w:rPr>
              <w:t>22 753 186,6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E87839" w:rsidRDefault="003E06A6" w:rsidP="006808F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87839">
              <w:rPr>
                <w:rFonts w:eastAsia="Times New Roman"/>
                <w:bCs/>
                <w:sz w:val="22"/>
                <w:szCs w:val="22"/>
                <w:lang w:eastAsia="ru-RU"/>
              </w:rPr>
              <w:t>23 989 420,1</w:t>
            </w:r>
          </w:p>
        </w:tc>
      </w:tr>
      <w:tr w:rsidR="003E06A6" w:rsidRPr="00FD20E5" w:rsidTr="00562DD6">
        <w:trPr>
          <w:trHeight w:val="5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6" w:rsidRPr="00F4156E" w:rsidRDefault="003E06A6" w:rsidP="006808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156E">
              <w:rPr>
                <w:rFonts w:eastAsia="Times New Roman"/>
                <w:bCs/>
                <w:sz w:val="24"/>
                <w:szCs w:val="24"/>
                <w:lang w:eastAsia="ru-RU"/>
              </w:rPr>
              <w:t>Прочие МБТ, передаваемые бюджетам ТФОМС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6A6" w:rsidRPr="00F4156E" w:rsidRDefault="003E06A6" w:rsidP="006808F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F4156E">
              <w:rPr>
                <w:rFonts w:eastAsia="Times New Roman"/>
                <w:bCs/>
                <w:sz w:val="22"/>
                <w:szCs w:val="22"/>
                <w:lang w:eastAsia="ru-RU"/>
              </w:rPr>
              <w:t>350 000,0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FD20E5" w:rsidRDefault="003E06A6" w:rsidP="006808F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highlight w:val="yellow"/>
                <w:lang w:eastAsia="ru-RU"/>
              </w:rPr>
            </w:pPr>
            <w:r w:rsidRPr="00E87839">
              <w:rPr>
                <w:rFonts w:eastAsia="Times New Roman"/>
                <w:bCs/>
                <w:sz w:val="22"/>
                <w:szCs w:val="22"/>
                <w:lang w:eastAsia="ru-RU"/>
              </w:rPr>
              <w:t>435 000,0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6" w:rsidRPr="00CF072E" w:rsidRDefault="003E06A6" w:rsidP="006808F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E87839" w:rsidRDefault="003E06A6" w:rsidP="006808F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87839">
              <w:rPr>
                <w:rFonts w:eastAsia="Times New Roman"/>
                <w:bCs/>
                <w:sz w:val="22"/>
                <w:szCs w:val="22"/>
                <w:lang w:eastAsia="ru-RU"/>
              </w:rPr>
              <w:t>462 400,0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E87839" w:rsidRDefault="003E06A6" w:rsidP="00E8783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87839">
              <w:rPr>
                <w:rFonts w:eastAsia="Times New Roman"/>
                <w:bCs/>
                <w:sz w:val="22"/>
                <w:szCs w:val="22"/>
                <w:lang w:eastAsia="ru-RU"/>
              </w:rPr>
              <w:t>488 000,0</w:t>
            </w:r>
          </w:p>
        </w:tc>
      </w:tr>
      <w:tr w:rsidR="003E06A6" w:rsidRPr="00FD20E5" w:rsidTr="00562DD6">
        <w:trPr>
          <w:trHeight w:val="5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A6" w:rsidRPr="00B02763" w:rsidRDefault="003E06A6" w:rsidP="006808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02763">
              <w:rPr>
                <w:rFonts w:eastAsia="Times New Roman"/>
                <w:bCs/>
                <w:sz w:val="24"/>
                <w:szCs w:val="24"/>
                <w:lang w:eastAsia="ru-RU"/>
              </w:rPr>
              <w:t>Доходы бюджетов ТФОМС от возврата остатков субсидий, субвенций и иных МБТ,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6A6" w:rsidRPr="00B02763" w:rsidRDefault="003E06A6" w:rsidP="006808F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B02763">
              <w:rPr>
                <w:rFonts w:eastAsia="Times New Roman"/>
                <w:bCs/>
                <w:sz w:val="22"/>
                <w:szCs w:val="22"/>
                <w:lang w:eastAsia="ru-RU"/>
              </w:rPr>
              <w:t>820,5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6" w:rsidRPr="00FA1667" w:rsidRDefault="003E06A6" w:rsidP="006808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A166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6" w:rsidRPr="00CF072E" w:rsidRDefault="003E06A6" w:rsidP="006808F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6" w:rsidRPr="00FA1667" w:rsidRDefault="003E06A6" w:rsidP="006808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A166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6" w:rsidRPr="00FA1667" w:rsidRDefault="003E06A6" w:rsidP="006808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A166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-</w:t>
            </w:r>
          </w:p>
        </w:tc>
      </w:tr>
      <w:tr w:rsidR="003E06A6" w:rsidRPr="00B02763" w:rsidTr="00562DD6">
        <w:trPr>
          <w:trHeight w:val="5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A6" w:rsidRPr="00B02763" w:rsidRDefault="003E06A6" w:rsidP="006808F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02763">
              <w:rPr>
                <w:rFonts w:eastAsia="Times New Roman"/>
                <w:bCs/>
                <w:sz w:val="24"/>
                <w:szCs w:val="24"/>
                <w:lang w:eastAsia="ru-RU"/>
              </w:rPr>
              <w:t>Возврат остатков субсидий, субвенций и иных МБТ, имеющих целевое назначение, прошлых лет из бюджетов ТФОМС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6A6" w:rsidRPr="00B02763" w:rsidRDefault="003E06A6" w:rsidP="006808F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B02763">
              <w:rPr>
                <w:rFonts w:eastAsia="Times New Roman"/>
                <w:bCs/>
                <w:sz w:val="22"/>
                <w:szCs w:val="22"/>
                <w:lang w:eastAsia="ru-RU"/>
              </w:rPr>
              <w:t>-876,1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6" w:rsidRPr="00FA1667" w:rsidRDefault="003E06A6" w:rsidP="006808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A166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6" w:rsidRPr="00CF072E" w:rsidRDefault="003E06A6" w:rsidP="006808F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6" w:rsidRPr="00FA1667" w:rsidRDefault="003E06A6" w:rsidP="006808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A166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6" w:rsidRPr="00FA1667" w:rsidRDefault="003E06A6" w:rsidP="006808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A166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-</w:t>
            </w:r>
          </w:p>
        </w:tc>
      </w:tr>
      <w:tr w:rsidR="003E06A6" w:rsidRPr="00FD20E5" w:rsidTr="006C057B">
        <w:trPr>
          <w:trHeight w:val="3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06A6" w:rsidRPr="005267C6" w:rsidRDefault="003E06A6" w:rsidP="006C057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67C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РАСХОД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06A6" w:rsidRPr="005267C6" w:rsidRDefault="003E06A6" w:rsidP="003E06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5267C6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20 557 196,4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06A6" w:rsidRPr="00FD20E5" w:rsidRDefault="003E06A6" w:rsidP="003E06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610F1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21 961 556,1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E06A6" w:rsidRPr="00CF072E" w:rsidRDefault="003E06A6" w:rsidP="003E06A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06A6" w:rsidRPr="00321F00" w:rsidRDefault="003E06A6" w:rsidP="003E06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321F0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23 277 586,6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06A6" w:rsidRPr="00321F00" w:rsidRDefault="003E06A6" w:rsidP="003E06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321F0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24 539 420,1</w:t>
            </w:r>
          </w:p>
        </w:tc>
      </w:tr>
      <w:tr w:rsidR="003E06A6" w:rsidRPr="00FD20E5" w:rsidTr="00562DD6">
        <w:trPr>
          <w:trHeight w:val="5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6A6" w:rsidRPr="00B07687" w:rsidRDefault="003E06A6" w:rsidP="00314EED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0768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B07687" w:rsidRDefault="003E06A6" w:rsidP="00314E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145 268,0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F266E7" w:rsidRDefault="003E06A6" w:rsidP="00314E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F266E7">
              <w:rPr>
                <w:rFonts w:eastAsia="Times New Roman"/>
                <w:bCs/>
                <w:sz w:val="22"/>
                <w:szCs w:val="22"/>
                <w:lang w:eastAsia="ru-RU"/>
              </w:rPr>
              <w:t>146 860,5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06A6" w:rsidRPr="00CF072E" w:rsidRDefault="003E06A6" w:rsidP="00314E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610F18" w:rsidRDefault="003E06A6" w:rsidP="00610F1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10F18">
              <w:rPr>
                <w:rFonts w:eastAsia="Times New Roman"/>
                <w:bCs/>
                <w:sz w:val="22"/>
                <w:szCs w:val="22"/>
                <w:lang w:eastAsia="ru-RU"/>
              </w:rPr>
              <w:t>146 860,5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Default="003E06A6" w:rsidP="00610F18">
            <w:pPr>
              <w:spacing w:after="0" w:line="240" w:lineRule="auto"/>
              <w:jc w:val="center"/>
            </w:pPr>
            <w:r w:rsidRPr="00610F18">
              <w:rPr>
                <w:rFonts w:eastAsia="Times New Roman"/>
                <w:bCs/>
                <w:sz w:val="22"/>
                <w:szCs w:val="22"/>
                <w:lang w:eastAsia="ru-RU"/>
              </w:rPr>
              <w:t>146 860,5</w:t>
            </w:r>
          </w:p>
        </w:tc>
      </w:tr>
      <w:tr w:rsidR="003E06A6" w:rsidRPr="00FD20E5" w:rsidTr="00562DD6">
        <w:trPr>
          <w:trHeight w:val="3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6A6" w:rsidRPr="00737164" w:rsidRDefault="003E06A6" w:rsidP="0004741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на обеспечение выполнения функций</w:t>
            </w:r>
            <w:r w:rsidRPr="0073716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аппарат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 ТФОМС</w:t>
            </w:r>
            <w:r w:rsidRPr="0073716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за счёт </w:t>
            </w:r>
            <w:r w:rsidRPr="00737164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субвенци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737164">
              <w:rPr>
                <w:rFonts w:eastAsia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737164" w:rsidRDefault="003E06A6" w:rsidP="00314E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6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139 609,3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F266E7" w:rsidRDefault="003E06A6" w:rsidP="00F266E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266E7">
              <w:rPr>
                <w:rFonts w:eastAsia="Times New Roman"/>
                <w:sz w:val="22"/>
                <w:szCs w:val="22"/>
                <w:lang w:eastAsia="ru-RU"/>
              </w:rPr>
              <w:t>14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Pr="00F266E7">
              <w:rPr>
                <w:rFonts w:eastAsia="Times New Roman"/>
                <w:sz w:val="22"/>
                <w:szCs w:val="22"/>
                <w:lang w:eastAsia="ru-RU"/>
              </w:rPr>
              <w:t xml:space="preserve"> 860,5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6" w:rsidRPr="00CF072E" w:rsidRDefault="003E06A6" w:rsidP="00314EE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610F18" w:rsidRDefault="003E06A6" w:rsidP="00610F1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10F18">
              <w:rPr>
                <w:rFonts w:eastAsia="Times New Roman"/>
                <w:bCs/>
                <w:sz w:val="22"/>
                <w:szCs w:val="22"/>
                <w:lang w:eastAsia="ru-RU"/>
              </w:rPr>
              <w:t>144 860,5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610F18" w:rsidRDefault="003E06A6" w:rsidP="00610F1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10F18">
              <w:rPr>
                <w:rFonts w:eastAsia="Times New Roman"/>
                <w:bCs/>
                <w:sz w:val="22"/>
                <w:szCs w:val="22"/>
                <w:lang w:eastAsia="ru-RU"/>
              </w:rPr>
              <w:t>144 860,5</w:t>
            </w:r>
          </w:p>
        </w:tc>
      </w:tr>
      <w:tr w:rsidR="003E06A6" w:rsidRPr="00FD20E5" w:rsidTr="00562DD6">
        <w:trPr>
          <w:trHeight w:val="3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6A6" w:rsidRPr="00652DEE" w:rsidRDefault="003E06A6" w:rsidP="00652DEE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47411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на обеспечение выполнения функций аппарата ТФОМС </w:t>
            </w:r>
            <w:r w:rsidRPr="00652DEE">
              <w:rPr>
                <w:rFonts w:eastAsia="Times New Roman"/>
                <w:bCs/>
                <w:sz w:val="24"/>
                <w:szCs w:val="24"/>
                <w:lang w:eastAsia="ru-RU"/>
              </w:rPr>
              <w:t>(иные источники)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652DEE" w:rsidRDefault="003E06A6" w:rsidP="00314EE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52DEE">
              <w:rPr>
                <w:rFonts w:eastAsia="Times New Roman"/>
                <w:bCs/>
                <w:sz w:val="22"/>
                <w:szCs w:val="22"/>
                <w:lang w:eastAsia="ru-RU"/>
              </w:rPr>
              <w:t>5 658,7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F266E7" w:rsidRDefault="003E06A6" w:rsidP="006808F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266E7">
              <w:rPr>
                <w:rFonts w:eastAsia="Times New Roman"/>
                <w:sz w:val="22"/>
                <w:szCs w:val="22"/>
                <w:lang w:eastAsia="ru-RU"/>
              </w:rPr>
              <w:t>2 000,0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06A6" w:rsidRPr="00CF072E" w:rsidRDefault="003E06A6" w:rsidP="006808F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610F18" w:rsidRDefault="003E06A6" w:rsidP="006808F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0F18">
              <w:rPr>
                <w:rFonts w:eastAsia="Times New Roman"/>
                <w:sz w:val="22"/>
                <w:szCs w:val="22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610F18" w:rsidRDefault="003E06A6" w:rsidP="00610F1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10F18">
              <w:rPr>
                <w:rFonts w:eastAsia="Times New Roman"/>
                <w:sz w:val="22"/>
                <w:szCs w:val="22"/>
                <w:lang w:eastAsia="ru-RU"/>
              </w:rPr>
              <w:t>2 000,0</w:t>
            </w:r>
          </w:p>
        </w:tc>
      </w:tr>
      <w:tr w:rsidR="003E06A6" w:rsidRPr="00FD20E5" w:rsidTr="00562DD6">
        <w:trPr>
          <w:trHeight w:val="3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6A6" w:rsidRPr="00D65459" w:rsidRDefault="003E06A6" w:rsidP="006808F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6545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Здравоохранение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D65459" w:rsidRDefault="003E06A6" w:rsidP="006808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20 411 928,4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F266E7" w:rsidRDefault="003E06A6" w:rsidP="006808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266E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21 814 695,6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6" w:rsidRPr="00CF072E" w:rsidRDefault="003E06A6" w:rsidP="006808F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364CA3" w:rsidRDefault="003E06A6" w:rsidP="006808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364CA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23 130 726,1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364CA3" w:rsidRDefault="003E06A6" w:rsidP="006808F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364CA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24 392 559,6</w:t>
            </w:r>
          </w:p>
        </w:tc>
      </w:tr>
      <w:tr w:rsidR="003E06A6" w:rsidRPr="00FD20E5" w:rsidTr="00562DD6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6" w:rsidRPr="00D65459" w:rsidRDefault="003E06A6" w:rsidP="00E473E2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6545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Финансовое обеспечение организации ОМС на территории Удмуртской Республики (в рамках базовой программы ОМС), осуществляемые за счёт иных источников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D65459" w:rsidRDefault="003E06A6" w:rsidP="006808F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D65459">
              <w:rPr>
                <w:rFonts w:eastAsia="Times New Roman"/>
                <w:bCs/>
                <w:sz w:val="22"/>
                <w:szCs w:val="22"/>
                <w:lang w:eastAsia="ru-RU"/>
              </w:rPr>
              <w:t>12 432,3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6" w:rsidRPr="00FD20E5" w:rsidRDefault="003E06A6" w:rsidP="006808F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highlight w:val="yellow"/>
                <w:lang w:eastAsia="ru-RU"/>
              </w:rPr>
            </w:pPr>
            <w:r w:rsidRPr="00610F18">
              <w:rPr>
                <w:rFonts w:eastAsia="Times New Roman"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6" w:rsidRPr="00CF072E" w:rsidRDefault="003E06A6" w:rsidP="006808F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6" w:rsidRPr="00E048D2" w:rsidRDefault="003E06A6" w:rsidP="006808F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048D2">
              <w:rPr>
                <w:rFonts w:eastAsia="Times New Roman"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6" w:rsidRPr="00E048D2" w:rsidRDefault="003E06A6" w:rsidP="006808F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048D2">
              <w:rPr>
                <w:rFonts w:eastAsia="Times New Roman"/>
                <w:bCs/>
                <w:sz w:val="22"/>
                <w:szCs w:val="22"/>
                <w:lang w:eastAsia="ru-RU"/>
              </w:rPr>
              <w:t>-</w:t>
            </w:r>
          </w:p>
        </w:tc>
      </w:tr>
      <w:tr w:rsidR="003E06A6" w:rsidRPr="00FD20E5" w:rsidTr="00562DD6">
        <w:trPr>
          <w:trHeight w:val="87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6" w:rsidRPr="000F42CC" w:rsidRDefault="003E06A6" w:rsidP="000437B6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437B6">
              <w:rPr>
                <w:rFonts w:eastAsia="Times New Roman"/>
                <w:bCs/>
                <w:sz w:val="24"/>
                <w:szCs w:val="24"/>
                <w:lang w:eastAsia="ru-RU"/>
              </w:rPr>
              <w:t>Финансовое обеспечение мероприятий, осуществляемых за счет средств нормированного страхового запаса ТФОМС Удмуртской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6A6" w:rsidRPr="00F565EB" w:rsidRDefault="003E06A6" w:rsidP="006808F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F565EB">
              <w:rPr>
                <w:rFonts w:eastAsia="Times New Roman"/>
                <w:bCs/>
                <w:sz w:val="22"/>
                <w:szCs w:val="22"/>
                <w:lang w:eastAsia="ru-RU"/>
              </w:rPr>
              <w:t>62 418,9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FD20E5" w:rsidRDefault="003E06A6" w:rsidP="006808F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highlight w:val="yellow"/>
                <w:lang w:eastAsia="ru-RU"/>
              </w:rPr>
            </w:pPr>
            <w:r w:rsidRPr="00610F18">
              <w:rPr>
                <w:rFonts w:eastAsia="Times New Roman"/>
                <w:bCs/>
                <w:sz w:val="22"/>
                <w:szCs w:val="22"/>
                <w:lang w:eastAsia="ru-RU"/>
              </w:rPr>
              <w:t>60 000,0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6" w:rsidRPr="00CF072E" w:rsidRDefault="003E06A6" w:rsidP="006808F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E048D2" w:rsidRDefault="003E06A6" w:rsidP="006808F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048D2">
              <w:rPr>
                <w:rFonts w:eastAsia="Times New Roman"/>
                <w:bCs/>
                <w:sz w:val="22"/>
                <w:szCs w:val="22"/>
                <w:lang w:eastAsia="ru-RU"/>
              </w:rPr>
              <w:t>60 000,0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E048D2" w:rsidRDefault="003E06A6" w:rsidP="006808F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048D2">
              <w:rPr>
                <w:rFonts w:eastAsia="Times New Roman"/>
                <w:bCs/>
                <w:sz w:val="22"/>
                <w:szCs w:val="22"/>
                <w:lang w:eastAsia="ru-RU"/>
              </w:rPr>
              <w:t>60 000,0</w:t>
            </w:r>
          </w:p>
        </w:tc>
      </w:tr>
      <w:tr w:rsidR="003E06A6" w:rsidRPr="00C4188D" w:rsidTr="00562DD6">
        <w:trPr>
          <w:trHeight w:val="2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6" w:rsidRPr="00071B67" w:rsidRDefault="003E06A6" w:rsidP="00E473E2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71B67">
              <w:rPr>
                <w:rFonts w:eastAsia="Times New Roman"/>
                <w:bCs/>
                <w:sz w:val="24"/>
                <w:szCs w:val="24"/>
                <w:lang w:eastAsia="ru-RU"/>
              </w:rPr>
              <w:t>Финансовое обеспечение организации ОМС на территории Удмуртской Республики за счёт трансфертов из бюджета ФФОМС,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071B67" w:rsidRDefault="003E06A6" w:rsidP="00AF2F8F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071B67">
              <w:rPr>
                <w:rFonts w:eastAsia="Times New Roman"/>
                <w:bCs/>
                <w:sz w:val="22"/>
                <w:szCs w:val="22"/>
                <w:lang w:eastAsia="ru-RU"/>
              </w:rPr>
              <w:t>20</w:t>
            </w:r>
            <w:r w:rsidR="00AF2F8F">
              <w:rPr>
                <w:rFonts w:eastAsia="Times New Roman"/>
                <w:bCs/>
                <w:sz w:val="22"/>
                <w:szCs w:val="22"/>
                <w:lang w:eastAsia="ru-RU"/>
              </w:rPr>
              <w:t> 337 077,2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610F18" w:rsidRDefault="003E06A6" w:rsidP="006808F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10F18">
              <w:rPr>
                <w:rFonts w:eastAsia="Times New Roman"/>
                <w:bCs/>
                <w:sz w:val="22"/>
                <w:szCs w:val="22"/>
                <w:lang w:eastAsia="ru-RU"/>
              </w:rPr>
              <w:t>21 754 695,6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6" w:rsidRPr="00CF072E" w:rsidRDefault="003E06A6" w:rsidP="00AF2F8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F072E">
              <w:rPr>
                <w:rFonts w:eastAsia="Times New Roman"/>
                <w:sz w:val="22"/>
                <w:szCs w:val="22"/>
                <w:lang w:eastAsia="ru-RU"/>
              </w:rPr>
              <w:t>107,</w:t>
            </w:r>
            <w:r w:rsidR="00AF2F8F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CF072E" w:rsidRDefault="003E06A6" w:rsidP="006808F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CF072E">
              <w:rPr>
                <w:rFonts w:eastAsia="Times New Roman"/>
                <w:bCs/>
                <w:sz w:val="22"/>
                <w:szCs w:val="22"/>
                <w:lang w:eastAsia="ru-RU"/>
              </w:rPr>
              <w:t>23 070 726,1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CF072E" w:rsidRDefault="003E06A6" w:rsidP="00C4188D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CF072E">
              <w:rPr>
                <w:rFonts w:eastAsia="Times New Roman"/>
                <w:bCs/>
                <w:sz w:val="22"/>
                <w:szCs w:val="22"/>
                <w:lang w:eastAsia="ru-RU"/>
              </w:rPr>
              <w:t>24 332 559,6</w:t>
            </w:r>
          </w:p>
        </w:tc>
      </w:tr>
      <w:tr w:rsidR="003E06A6" w:rsidRPr="00FD20E5" w:rsidTr="00562DD6">
        <w:trPr>
          <w:trHeight w:val="7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A6" w:rsidRPr="00071B67" w:rsidRDefault="003E06A6" w:rsidP="006808F0">
            <w:pPr>
              <w:spacing w:after="0" w:line="240" w:lineRule="auto"/>
              <w:rPr>
                <w:rFonts w:eastAsia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071B67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071B67" w:rsidRDefault="003E06A6" w:rsidP="006808F0">
            <w:pPr>
              <w:spacing w:after="0" w:line="240" w:lineRule="auto"/>
              <w:jc w:val="center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071B67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19 528 330,7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610F18" w:rsidRDefault="003E06A6" w:rsidP="006808F0">
            <w:pPr>
              <w:spacing w:after="0" w:line="240" w:lineRule="auto"/>
              <w:jc w:val="center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610F18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20 920 079,5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6" w:rsidRPr="00CF072E" w:rsidRDefault="003E06A6" w:rsidP="006808F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C4188D" w:rsidRDefault="003E06A6" w:rsidP="006808F0">
            <w:pPr>
              <w:spacing w:after="0" w:line="240" w:lineRule="auto"/>
              <w:jc w:val="center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C4188D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22 186 762,7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C4188D" w:rsidRDefault="003E06A6" w:rsidP="006808F0">
            <w:pPr>
              <w:spacing w:after="0" w:line="240" w:lineRule="auto"/>
              <w:jc w:val="center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C4188D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23 413 885,7</w:t>
            </w:r>
          </w:p>
        </w:tc>
      </w:tr>
      <w:tr w:rsidR="003E06A6" w:rsidRPr="00FD20E5" w:rsidTr="00562DD6">
        <w:trPr>
          <w:trHeight w:val="3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071B67" w:rsidRDefault="003E06A6" w:rsidP="006808F0">
            <w:pPr>
              <w:spacing w:after="0" w:line="240" w:lineRule="auto"/>
              <w:rPr>
                <w:rFonts w:eastAsia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071B67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МБТ  бюджетам ТФОМС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071B67" w:rsidRDefault="003E06A6" w:rsidP="006808F0">
            <w:pPr>
              <w:spacing w:after="0" w:line="240" w:lineRule="auto"/>
              <w:jc w:val="center"/>
              <w:rPr>
                <w:rFonts w:eastAsia="Times New Roman"/>
                <w:bCs/>
                <w:i/>
                <w:sz w:val="22"/>
                <w:szCs w:val="22"/>
                <w:highlight w:val="yellow"/>
                <w:lang w:eastAsia="ru-RU"/>
              </w:rPr>
            </w:pPr>
            <w:r w:rsidRPr="00071B67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689 547,7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610F18" w:rsidRDefault="003E06A6" w:rsidP="00610F18">
            <w:pPr>
              <w:spacing w:after="0" w:line="240" w:lineRule="auto"/>
              <w:jc w:val="center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610F18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834 616,1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6" w:rsidRPr="00CF072E" w:rsidRDefault="003E06A6" w:rsidP="006808F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321F00" w:rsidRDefault="003E06A6" w:rsidP="006808F0">
            <w:pPr>
              <w:spacing w:after="0" w:line="240" w:lineRule="auto"/>
              <w:jc w:val="center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321F00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883 963,4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A6" w:rsidRPr="00321F00" w:rsidRDefault="003E06A6" w:rsidP="006808F0">
            <w:pPr>
              <w:spacing w:after="0" w:line="240" w:lineRule="auto"/>
              <w:jc w:val="center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321F00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918 673,9</w:t>
            </w:r>
          </w:p>
        </w:tc>
      </w:tr>
      <w:tr w:rsidR="003E06A6" w:rsidRPr="00FD20E5" w:rsidTr="00562DD6">
        <w:trPr>
          <w:trHeight w:val="3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6" w:rsidRPr="00071B67" w:rsidRDefault="003E06A6" w:rsidP="006808F0">
            <w:pPr>
              <w:spacing w:after="0" w:line="240" w:lineRule="auto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071B67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71B67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 расходов медицинских организаций на оплату труда врачей и среднего медицинского персонала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6" w:rsidRPr="00071B67" w:rsidRDefault="003E06A6" w:rsidP="006808F0">
            <w:pPr>
              <w:spacing w:after="0" w:line="240" w:lineRule="auto"/>
              <w:jc w:val="center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071B67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119 198,8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6" w:rsidRPr="00FD20E5" w:rsidRDefault="003E06A6" w:rsidP="006808F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6" w:rsidRPr="00CF072E" w:rsidRDefault="003E06A6" w:rsidP="006808F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6" w:rsidRPr="00FD20E5" w:rsidRDefault="003E06A6" w:rsidP="006808F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A6" w:rsidRPr="00FD20E5" w:rsidRDefault="003E06A6" w:rsidP="006808F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3E06A6" w:rsidRPr="00FD20E5" w:rsidTr="006C057B">
        <w:trPr>
          <w:trHeight w:val="3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06A6" w:rsidRPr="00FD20E5" w:rsidRDefault="003E06A6" w:rsidP="006808F0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5267C6">
              <w:rPr>
                <w:rFonts w:eastAsia="Times New Roman"/>
                <w:sz w:val="24"/>
                <w:szCs w:val="24"/>
                <w:lang w:eastAsia="ru-RU"/>
              </w:rPr>
              <w:t>Остаток средств на конец отчетного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06A6" w:rsidRPr="005267C6" w:rsidRDefault="003E06A6" w:rsidP="005267C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-</w:t>
            </w:r>
            <w:r w:rsidRPr="005267C6">
              <w:rPr>
                <w:rFonts w:eastAsia="Times New Roman"/>
                <w:bCs/>
                <w:sz w:val="22"/>
                <w:szCs w:val="22"/>
                <w:lang w:eastAsia="ru-RU"/>
              </w:rPr>
              <w:t>109 894,5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06A6" w:rsidRPr="00BD1F92" w:rsidRDefault="003E06A6" w:rsidP="006808F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D1F92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E06A6" w:rsidRPr="00CF072E" w:rsidRDefault="003E06A6" w:rsidP="006808F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06A6" w:rsidRPr="00BD1F92" w:rsidRDefault="003E06A6" w:rsidP="006808F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D1F92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E06A6" w:rsidRPr="00BD1F92" w:rsidRDefault="003E06A6" w:rsidP="006808F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D1F92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</w:tr>
    </w:tbl>
    <w:p w:rsidR="00301A5E" w:rsidRPr="00FD20E5" w:rsidRDefault="00301A5E" w:rsidP="008C79A9">
      <w:pPr>
        <w:spacing w:after="0"/>
        <w:ind w:firstLine="709"/>
        <w:jc w:val="both"/>
        <w:rPr>
          <w:highlight w:val="yellow"/>
        </w:rPr>
      </w:pPr>
    </w:p>
    <w:p w:rsidR="00B8279C" w:rsidRPr="00DB0575" w:rsidRDefault="00B34C8A" w:rsidP="00713523">
      <w:pPr>
        <w:spacing w:after="0"/>
        <w:ind w:firstLine="709"/>
        <w:jc w:val="both"/>
      </w:pPr>
      <w:r w:rsidRPr="00DB0575">
        <w:rPr>
          <w:b/>
        </w:rPr>
        <w:t>Доходная часть бюджета Фонда</w:t>
      </w:r>
      <w:r w:rsidRPr="00DB0575">
        <w:t xml:space="preserve"> </w:t>
      </w:r>
      <w:r w:rsidR="00B8279C" w:rsidRPr="00DB0575">
        <w:t>на 20</w:t>
      </w:r>
      <w:r w:rsidR="0099440F" w:rsidRPr="00DB0575">
        <w:t>20</w:t>
      </w:r>
      <w:r w:rsidR="00B8279C" w:rsidRPr="00DB0575">
        <w:t xml:space="preserve"> год</w:t>
      </w:r>
      <w:r w:rsidRPr="00DB0575">
        <w:t xml:space="preserve"> запланирована в сумме </w:t>
      </w:r>
      <w:r w:rsidR="00B8279C" w:rsidRPr="00DB0575">
        <w:t xml:space="preserve"> </w:t>
      </w:r>
      <w:r w:rsidRPr="00DB0575">
        <w:t xml:space="preserve">                  </w:t>
      </w:r>
      <w:r w:rsidR="00DB0575" w:rsidRPr="00DB0575">
        <w:t>21 961 556,1</w:t>
      </w:r>
      <w:r w:rsidR="00AB7E83">
        <w:t xml:space="preserve"> тыс. рублей</w:t>
      </w:r>
      <w:r w:rsidR="004C327E">
        <w:t>,</w:t>
      </w:r>
      <w:r w:rsidR="00AB7E83">
        <w:t xml:space="preserve"> </w:t>
      </w:r>
      <w:r w:rsidR="004C327E">
        <w:t>р</w:t>
      </w:r>
      <w:r w:rsidR="00AB7E83">
        <w:t>ост</w:t>
      </w:r>
      <w:r w:rsidR="002E6212">
        <w:t xml:space="preserve"> </w:t>
      </w:r>
      <w:r w:rsidR="004C327E">
        <w:t>к</w:t>
      </w:r>
      <w:r w:rsidR="002E6212">
        <w:t xml:space="preserve"> </w:t>
      </w:r>
      <w:r w:rsidR="004C327E">
        <w:t>плановым назначениям 2019 год</w:t>
      </w:r>
      <w:r w:rsidR="006115D4">
        <w:t>а</w:t>
      </w:r>
      <w:r w:rsidR="00907FF6">
        <w:t xml:space="preserve"> (20 447 301,9 тыс. рублей)</w:t>
      </w:r>
      <w:r w:rsidR="00C224F8">
        <w:t xml:space="preserve"> </w:t>
      </w:r>
      <w:r w:rsidR="00AB7E83">
        <w:t>состав</w:t>
      </w:r>
      <w:r w:rsidR="00217E81">
        <w:t xml:space="preserve">ляет </w:t>
      </w:r>
      <w:r w:rsidR="00B8279C" w:rsidRPr="00DB0575">
        <w:t>1</w:t>
      </w:r>
      <w:r w:rsidR="000000E6">
        <w:t> 514 254,2</w:t>
      </w:r>
      <w:r w:rsidR="00B8279C" w:rsidRPr="00DB0575">
        <w:t xml:space="preserve"> тыс. руб</w:t>
      </w:r>
      <w:r w:rsidRPr="00DB0575">
        <w:t>лей</w:t>
      </w:r>
      <w:r w:rsidR="00B8279C" w:rsidRPr="00DB0575">
        <w:t xml:space="preserve"> или </w:t>
      </w:r>
      <w:r w:rsidR="000000E6">
        <w:t>7,4</w:t>
      </w:r>
      <w:r w:rsidR="00B8279C" w:rsidRPr="00DB0575">
        <w:t xml:space="preserve"> %.</w:t>
      </w:r>
      <w:r w:rsidR="006115D4">
        <w:t xml:space="preserve"> По </w:t>
      </w:r>
      <w:r w:rsidR="006115D4">
        <w:lastRenderedPageBreak/>
        <w:t>отношению к ожидаемой оценке исполнения дохо</w:t>
      </w:r>
      <w:r w:rsidR="00CB12CF">
        <w:t>дов бюджета Фонда за 2019 год (</w:t>
      </w:r>
      <w:r w:rsidR="006115D4">
        <w:t xml:space="preserve">20 591 192,2 тыс. </w:t>
      </w:r>
      <w:proofErr w:type="gramStart"/>
      <w:r w:rsidR="006115D4">
        <w:t xml:space="preserve">рублей) </w:t>
      </w:r>
      <w:proofErr w:type="gramEnd"/>
      <w:r w:rsidR="006115D4">
        <w:t>планируемое увеличение  составит 6,6 %.</w:t>
      </w:r>
    </w:p>
    <w:p w:rsidR="00B34C8A" w:rsidRPr="00FE0DB7" w:rsidRDefault="006115D4" w:rsidP="00713523">
      <w:pPr>
        <w:spacing w:after="0"/>
        <w:ind w:firstLine="709"/>
        <w:jc w:val="both"/>
      </w:pPr>
      <w:r>
        <w:t>Прогнозные показатели по д</w:t>
      </w:r>
      <w:r w:rsidR="00B8279C" w:rsidRPr="00FE0DB7">
        <w:t>оход</w:t>
      </w:r>
      <w:r>
        <w:t>ам</w:t>
      </w:r>
      <w:r w:rsidR="00B8279C" w:rsidRPr="00FE0DB7">
        <w:t xml:space="preserve"> </w:t>
      </w:r>
      <w:r w:rsidR="00B34C8A" w:rsidRPr="00FE0DB7">
        <w:t xml:space="preserve">Фонда </w:t>
      </w:r>
      <w:r>
        <w:t>в</w:t>
      </w:r>
      <w:r w:rsidR="00B8279C" w:rsidRPr="00FE0DB7">
        <w:t xml:space="preserve"> планов</w:t>
      </w:r>
      <w:r>
        <w:t>ом</w:t>
      </w:r>
      <w:r w:rsidR="00B8279C" w:rsidRPr="00FE0DB7">
        <w:t xml:space="preserve"> </w:t>
      </w:r>
      <w:r w:rsidR="00A1484A" w:rsidRPr="00FE0DB7">
        <w:t>период</w:t>
      </w:r>
      <w:r>
        <w:t>е</w:t>
      </w:r>
      <w:r w:rsidR="00A1484A" w:rsidRPr="00FE0DB7">
        <w:t xml:space="preserve"> 202</w:t>
      </w:r>
      <w:r w:rsidR="00FE0DB7" w:rsidRPr="00FE0DB7">
        <w:t>1</w:t>
      </w:r>
      <w:r w:rsidR="00A1484A" w:rsidRPr="00FE0DB7">
        <w:t xml:space="preserve"> и 202</w:t>
      </w:r>
      <w:r w:rsidR="00FE0DB7" w:rsidRPr="00FE0DB7">
        <w:t>2</w:t>
      </w:r>
      <w:r w:rsidR="00A1484A" w:rsidRPr="00FE0DB7">
        <w:t xml:space="preserve"> годов </w:t>
      </w:r>
      <w:r>
        <w:t>составляют</w:t>
      </w:r>
      <w:r w:rsidR="00B34C8A" w:rsidRPr="00FE0DB7">
        <w:t>:</w:t>
      </w:r>
    </w:p>
    <w:p w:rsidR="00B8279C" w:rsidRPr="00FE0DB7" w:rsidRDefault="00B34C8A" w:rsidP="00713523">
      <w:pPr>
        <w:spacing w:after="0"/>
        <w:ind w:firstLine="709"/>
        <w:jc w:val="both"/>
      </w:pPr>
      <w:r w:rsidRPr="00FE0DB7">
        <w:t>на 202</w:t>
      </w:r>
      <w:r w:rsidR="00FE0DB7" w:rsidRPr="00FE0DB7">
        <w:t>1</w:t>
      </w:r>
      <w:r w:rsidRPr="00FE0DB7">
        <w:t xml:space="preserve"> год в сумме 2</w:t>
      </w:r>
      <w:r w:rsidR="00FE0DB7" w:rsidRPr="00FE0DB7">
        <w:t>3</w:t>
      </w:r>
      <w:r w:rsidRPr="00FE0DB7">
        <w:t xml:space="preserve"> </w:t>
      </w:r>
      <w:r w:rsidR="00FE0DB7" w:rsidRPr="00FE0DB7">
        <w:t>277</w:t>
      </w:r>
      <w:r w:rsidRPr="00FE0DB7">
        <w:t xml:space="preserve"> </w:t>
      </w:r>
      <w:r w:rsidR="00FE0DB7" w:rsidRPr="00FE0DB7">
        <w:t>586</w:t>
      </w:r>
      <w:r w:rsidRPr="00FE0DB7">
        <w:t>,</w:t>
      </w:r>
      <w:r w:rsidR="00FE0DB7" w:rsidRPr="00FE0DB7">
        <w:t>6</w:t>
      </w:r>
      <w:r w:rsidRPr="00FE0DB7">
        <w:t xml:space="preserve"> тыс. рублей (</w:t>
      </w:r>
      <w:r w:rsidR="004C327E">
        <w:t>рост</w:t>
      </w:r>
      <w:r w:rsidRPr="00FE0DB7">
        <w:t xml:space="preserve"> </w:t>
      </w:r>
      <w:r w:rsidR="004C327E">
        <w:t>к</w:t>
      </w:r>
      <w:r w:rsidRPr="00FE0DB7">
        <w:t xml:space="preserve"> 20</w:t>
      </w:r>
      <w:r w:rsidR="00FE0DB7" w:rsidRPr="00FE0DB7">
        <w:t xml:space="preserve">20 </w:t>
      </w:r>
      <w:r w:rsidRPr="00FE0DB7">
        <w:t>год</w:t>
      </w:r>
      <w:r w:rsidR="004C327E">
        <w:t>у</w:t>
      </w:r>
      <w:r w:rsidRPr="00FE0DB7">
        <w:t xml:space="preserve"> </w:t>
      </w:r>
      <w:r w:rsidR="004C327E">
        <w:t>на</w:t>
      </w:r>
      <w:r w:rsidRPr="00FE0DB7">
        <w:t xml:space="preserve"> </w:t>
      </w:r>
      <w:r w:rsidR="00C224F8">
        <w:t xml:space="preserve">               </w:t>
      </w:r>
      <w:r w:rsidR="007E6ADD">
        <w:t>6</w:t>
      </w:r>
      <w:r w:rsidR="000C5301">
        <w:t xml:space="preserve"> </w:t>
      </w:r>
      <w:r w:rsidRPr="00FE0DB7">
        <w:t>%);</w:t>
      </w:r>
    </w:p>
    <w:p w:rsidR="00B8279C" w:rsidRPr="000C5301" w:rsidRDefault="00B34C8A" w:rsidP="00713523">
      <w:pPr>
        <w:spacing w:after="0"/>
        <w:ind w:firstLine="709"/>
        <w:jc w:val="both"/>
      </w:pPr>
      <w:r w:rsidRPr="000C5301">
        <w:t xml:space="preserve">на </w:t>
      </w:r>
      <w:r w:rsidR="00B8279C" w:rsidRPr="000C5301">
        <w:t>202</w:t>
      </w:r>
      <w:r w:rsidR="00FE0DB7" w:rsidRPr="000C5301">
        <w:t>2</w:t>
      </w:r>
      <w:r w:rsidR="00B8279C" w:rsidRPr="000C5301">
        <w:t xml:space="preserve"> год </w:t>
      </w:r>
      <w:r w:rsidR="008D1E8D">
        <w:t xml:space="preserve"> в сумме</w:t>
      </w:r>
      <w:r w:rsidR="00B8279C" w:rsidRPr="000C5301">
        <w:t xml:space="preserve"> </w:t>
      </w:r>
      <w:r w:rsidR="000C5301" w:rsidRPr="000C5301">
        <w:t>24</w:t>
      </w:r>
      <w:r w:rsidR="00B8279C" w:rsidRPr="000C5301">
        <w:t xml:space="preserve"> </w:t>
      </w:r>
      <w:r w:rsidR="000C5301" w:rsidRPr="000C5301">
        <w:t>539</w:t>
      </w:r>
      <w:r w:rsidR="00B8279C" w:rsidRPr="000C5301">
        <w:t xml:space="preserve"> </w:t>
      </w:r>
      <w:r w:rsidR="000C5301" w:rsidRPr="000C5301">
        <w:t>420</w:t>
      </w:r>
      <w:r w:rsidR="00B8279C" w:rsidRPr="000C5301">
        <w:t>,</w:t>
      </w:r>
      <w:r w:rsidR="000C5301" w:rsidRPr="000C5301">
        <w:t>1</w:t>
      </w:r>
      <w:r w:rsidR="00B8279C" w:rsidRPr="000C5301">
        <w:t xml:space="preserve"> тыс. руб. (</w:t>
      </w:r>
      <w:r w:rsidR="004C327E">
        <w:t>рост к</w:t>
      </w:r>
      <w:r w:rsidR="00B8279C" w:rsidRPr="000C5301">
        <w:t xml:space="preserve"> 202</w:t>
      </w:r>
      <w:r w:rsidR="000C5301" w:rsidRPr="000C5301">
        <w:t>1</w:t>
      </w:r>
      <w:r w:rsidR="00B8279C" w:rsidRPr="000C5301">
        <w:t xml:space="preserve"> год</w:t>
      </w:r>
      <w:r w:rsidR="004C327E">
        <w:t>у</w:t>
      </w:r>
      <w:r w:rsidR="00B8279C" w:rsidRPr="000C5301">
        <w:t xml:space="preserve"> на </w:t>
      </w:r>
      <w:r w:rsidR="000C5301">
        <w:t xml:space="preserve">5,4 </w:t>
      </w:r>
      <w:r w:rsidR="00B8279C" w:rsidRPr="000C5301">
        <w:t>%).</w:t>
      </w:r>
    </w:p>
    <w:p w:rsidR="00B8279C" w:rsidRPr="004756F1" w:rsidRDefault="001D36A8" w:rsidP="00713523">
      <w:pPr>
        <w:spacing w:after="0"/>
        <w:ind w:firstLine="709"/>
        <w:jc w:val="both"/>
      </w:pPr>
      <w:r w:rsidRPr="000F7B43">
        <w:t>П</w:t>
      </w:r>
      <w:r w:rsidR="00D3054E" w:rsidRPr="000F7B43">
        <w:t>оступлени</w:t>
      </w:r>
      <w:r w:rsidR="00806DBC" w:rsidRPr="000F7B43">
        <w:t>е</w:t>
      </w:r>
      <w:r w:rsidR="00D3054E" w:rsidRPr="000F7B43">
        <w:t xml:space="preserve"> неналоговых доходов</w:t>
      </w:r>
      <w:r w:rsidR="00D3054E" w:rsidRPr="00605856">
        <w:rPr>
          <w:b/>
        </w:rPr>
        <w:t xml:space="preserve"> </w:t>
      </w:r>
      <w:r w:rsidR="00806DBC" w:rsidRPr="00605856">
        <w:t>в</w:t>
      </w:r>
      <w:r w:rsidR="00B8279C" w:rsidRPr="00605856">
        <w:t xml:space="preserve"> 20</w:t>
      </w:r>
      <w:r w:rsidR="004756F1" w:rsidRPr="00605856">
        <w:t>20</w:t>
      </w:r>
      <w:r w:rsidR="00B8279C" w:rsidRPr="00605856">
        <w:t xml:space="preserve"> год</w:t>
      </w:r>
      <w:r w:rsidR="00806DBC" w:rsidRPr="00605856">
        <w:t>у</w:t>
      </w:r>
      <w:r w:rsidR="00B8279C" w:rsidRPr="00605856">
        <w:t xml:space="preserve"> </w:t>
      </w:r>
      <w:r>
        <w:t>п</w:t>
      </w:r>
      <w:r w:rsidR="007E6ADD">
        <w:t>лани</w:t>
      </w:r>
      <w:r>
        <w:t>руется в сумме</w:t>
      </w:r>
      <w:r w:rsidR="00B8279C" w:rsidRPr="004756F1">
        <w:t xml:space="preserve"> </w:t>
      </w:r>
      <w:r w:rsidR="007E6ADD">
        <w:t xml:space="preserve">      </w:t>
      </w:r>
      <w:r w:rsidR="004756F1">
        <w:t>62 000</w:t>
      </w:r>
      <w:r w:rsidR="00B8279C" w:rsidRPr="004756F1">
        <w:t>,0 тыс. руб</w:t>
      </w:r>
      <w:r w:rsidR="00D3054E" w:rsidRPr="004756F1">
        <w:t>лей</w:t>
      </w:r>
      <w:r w:rsidR="00806DBC" w:rsidRPr="004756F1">
        <w:t xml:space="preserve"> </w:t>
      </w:r>
      <w:r w:rsidR="003A4FEF">
        <w:t xml:space="preserve">с ростом 36,2 % к 2019 году </w:t>
      </w:r>
      <w:r w:rsidR="00CE624B">
        <w:t>(их д</w:t>
      </w:r>
      <w:r w:rsidR="003A4FEF">
        <w:t xml:space="preserve">оля </w:t>
      </w:r>
      <w:r w:rsidR="00CE624B">
        <w:t>в общем объё</w:t>
      </w:r>
      <w:r w:rsidR="00CE624B" w:rsidRPr="004756F1">
        <w:t>ме прогнозируемых доходов на 20</w:t>
      </w:r>
      <w:r w:rsidR="00CE624B">
        <w:t>20</w:t>
      </w:r>
      <w:r w:rsidR="00CE624B" w:rsidRPr="004756F1">
        <w:t xml:space="preserve"> год</w:t>
      </w:r>
      <w:r w:rsidR="00CE624B">
        <w:t xml:space="preserve"> </w:t>
      </w:r>
      <w:r w:rsidR="003A4FEF">
        <w:t>составит</w:t>
      </w:r>
      <w:r w:rsidR="00806DBC" w:rsidRPr="004756F1">
        <w:t xml:space="preserve"> 0,</w:t>
      </w:r>
      <w:r w:rsidR="00E32628">
        <w:t>3</w:t>
      </w:r>
      <w:r w:rsidR="004C327E">
        <w:t xml:space="preserve"> %</w:t>
      </w:r>
      <w:r w:rsidR="00CE624B">
        <w:t>)</w:t>
      </w:r>
      <w:r w:rsidR="00B8279C" w:rsidRPr="004756F1">
        <w:t xml:space="preserve">, </w:t>
      </w:r>
      <w:r w:rsidR="00806DBC" w:rsidRPr="004756F1">
        <w:t>из них</w:t>
      </w:r>
      <w:r w:rsidR="00B8279C" w:rsidRPr="004756F1">
        <w:t>:</w:t>
      </w:r>
    </w:p>
    <w:p w:rsidR="00B8279C" w:rsidRPr="006469CD" w:rsidRDefault="006469CD" w:rsidP="00713523">
      <w:pPr>
        <w:spacing w:after="0"/>
        <w:ind w:firstLine="709"/>
        <w:jc w:val="both"/>
      </w:pPr>
      <w:r w:rsidRPr="006469CD">
        <w:t xml:space="preserve">2 000,0 </w:t>
      </w:r>
      <w:r w:rsidR="00806DBC" w:rsidRPr="006469CD">
        <w:t>тыс. рублей</w:t>
      </w:r>
      <w:r w:rsidR="00A1484A" w:rsidRPr="006469CD">
        <w:t xml:space="preserve"> </w:t>
      </w:r>
      <w:r w:rsidR="008D1E8D" w:rsidRPr="006469CD">
        <w:t>–</w:t>
      </w:r>
      <w:r w:rsidR="0050786F">
        <w:t xml:space="preserve"> </w:t>
      </w:r>
      <w:r w:rsidR="004C64F5">
        <w:t>д</w:t>
      </w:r>
      <w:r w:rsidR="004C64F5" w:rsidRPr="004C64F5">
        <w:t>енежны</w:t>
      </w:r>
      <w:r w:rsidR="007E6ADD">
        <w:t>е</w:t>
      </w:r>
      <w:r w:rsidR="004C64F5" w:rsidRPr="004C64F5">
        <w:t xml:space="preserve"> взыскани</w:t>
      </w:r>
      <w:r w:rsidR="007E6ADD">
        <w:t>я</w:t>
      </w:r>
      <w:r w:rsidR="004C64F5" w:rsidRPr="004C64F5">
        <w:t>, налагае</w:t>
      </w:r>
      <w:r w:rsidR="004C64F5">
        <w:t>мы</w:t>
      </w:r>
      <w:r w:rsidR="007E6ADD">
        <w:t>е</w:t>
      </w:r>
      <w:r w:rsidR="004C64F5">
        <w:t xml:space="preserve"> в возмещение ущерба, причинё</w:t>
      </w:r>
      <w:r w:rsidR="004C64F5" w:rsidRPr="004C64F5">
        <w:t>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</w:r>
      <w:r w:rsidR="00B8279C" w:rsidRPr="006469CD">
        <w:t>;</w:t>
      </w:r>
    </w:p>
    <w:p w:rsidR="00B8279C" w:rsidRPr="006456C9" w:rsidRDefault="008D1E8D" w:rsidP="00713523">
      <w:pPr>
        <w:spacing w:after="0"/>
        <w:ind w:firstLine="709"/>
        <w:jc w:val="both"/>
      </w:pPr>
      <w:r w:rsidRPr="004C64F5">
        <w:t xml:space="preserve">60 000,0 </w:t>
      </w:r>
      <w:r w:rsidR="00806DBC" w:rsidRPr="004C64F5">
        <w:t>тыс.</w:t>
      </w:r>
      <w:r w:rsidR="00806DBC" w:rsidRPr="006456C9">
        <w:t xml:space="preserve"> рублей </w:t>
      </w:r>
      <w:r w:rsidR="00CE624B">
        <w:t xml:space="preserve">– </w:t>
      </w:r>
      <w:r w:rsidR="004C64F5">
        <w:t>и</w:t>
      </w:r>
      <w:r w:rsidR="004C64F5" w:rsidRPr="004C64F5">
        <w:t>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</w:r>
      <w:r w:rsidR="00806DBC" w:rsidRPr="006456C9">
        <w:t>.</w:t>
      </w:r>
      <w:r w:rsidR="00B8279C" w:rsidRPr="006456C9">
        <w:t xml:space="preserve"> </w:t>
      </w:r>
    </w:p>
    <w:p w:rsidR="00B8279C" w:rsidRDefault="00806DBC" w:rsidP="00713523">
      <w:pPr>
        <w:spacing w:after="0"/>
        <w:ind w:firstLine="709"/>
        <w:jc w:val="both"/>
      </w:pPr>
      <w:r w:rsidRPr="008B0AAF">
        <w:t>Объём поступлений неналоговых доходов</w:t>
      </w:r>
      <w:r w:rsidRPr="004C64F5">
        <w:t xml:space="preserve"> </w:t>
      </w:r>
      <w:r w:rsidR="004C64F5" w:rsidRPr="004C64F5">
        <w:t>на</w:t>
      </w:r>
      <w:r w:rsidRPr="004C64F5">
        <w:t xml:space="preserve"> 202</w:t>
      </w:r>
      <w:r w:rsidR="004C64F5" w:rsidRPr="004C64F5">
        <w:t>1</w:t>
      </w:r>
      <w:r w:rsidRPr="004C64F5">
        <w:t xml:space="preserve"> и 202</w:t>
      </w:r>
      <w:r w:rsidR="004C64F5" w:rsidRPr="004C64F5">
        <w:t>2</w:t>
      </w:r>
      <w:r w:rsidRPr="004C64F5">
        <w:t xml:space="preserve"> год</w:t>
      </w:r>
      <w:r w:rsidR="004C64F5" w:rsidRPr="004C64F5">
        <w:t>ы</w:t>
      </w:r>
      <w:r w:rsidRPr="004C64F5">
        <w:t xml:space="preserve"> </w:t>
      </w:r>
      <w:r w:rsidR="00B8279C" w:rsidRPr="004C64F5">
        <w:t xml:space="preserve">запланирован </w:t>
      </w:r>
      <w:r w:rsidRPr="004C64F5">
        <w:t>на уровне 20</w:t>
      </w:r>
      <w:r w:rsidR="004C64F5" w:rsidRPr="004C64F5">
        <w:t>20</w:t>
      </w:r>
      <w:r w:rsidRPr="004C64F5">
        <w:t xml:space="preserve"> года в размере </w:t>
      </w:r>
      <w:r w:rsidR="004C64F5" w:rsidRPr="004C64F5">
        <w:t>62</w:t>
      </w:r>
      <w:r w:rsidRPr="004C64F5">
        <w:t xml:space="preserve"> </w:t>
      </w:r>
      <w:r w:rsidR="004C64F5" w:rsidRPr="004C64F5">
        <w:t>0</w:t>
      </w:r>
      <w:r w:rsidRPr="004C64F5">
        <w:t xml:space="preserve">00,0 тыс. рублей </w:t>
      </w:r>
      <w:r w:rsidR="00B8279C" w:rsidRPr="004C64F5">
        <w:t>ежегодно.</w:t>
      </w:r>
    </w:p>
    <w:p w:rsidR="007E6ADD" w:rsidRPr="00137CB7" w:rsidRDefault="007E6ADD" w:rsidP="00713523">
      <w:pPr>
        <w:spacing w:after="0"/>
        <w:ind w:firstLine="709"/>
        <w:jc w:val="both"/>
      </w:pPr>
      <w:proofErr w:type="gramStart"/>
      <w:r>
        <w:t xml:space="preserve">В </w:t>
      </w:r>
      <w:r w:rsidR="005E0657">
        <w:t xml:space="preserve">своём </w:t>
      </w:r>
      <w:r>
        <w:t>заключении на Законопроект Государственн</w:t>
      </w:r>
      <w:r w:rsidR="0034448B">
        <w:t>ый</w:t>
      </w:r>
      <w:r>
        <w:t xml:space="preserve"> ко</w:t>
      </w:r>
      <w:r w:rsidR="002470B6">
        <w:t>нтрольн</w:t>
      </w:r>
      <w:r w:rsidR="0034448B">
        <w:t>ый</w:t>
      </w:r>
      <w:r w:rsidR="002470B6">
        <w:t xml:space="preserve"> комитет Удмуртской Р</w:t>
      </w:r>
      <w:r>
        <w:t>еспублики</w:t>
      </w:r>
      <w:r w:rsidR="002470B6">
        <w:t xml:space="preserve"> отмечает, что </w:t>
      </w:r>
      <w:r w:rsidR="002470B6" w:rsidRPr="002470B6">
        <w:t>имеются резервы поступления по группе доходов «Налоговые и неналоговые доходы» на сумму не менее  20 000,0 тыс. руб</w:t>
      </w:r>
      <w:r w:rsidR="002470B6">
        <w:t>лей</w:t>
      </w:r>
      <w:r w:rsidR="00FB27F2">
        <w:t xml:space="preserve"> (</w:t>
      </w:r>
      <w:r w:rsidR="0034448B">
        <w:t xml:space="preserve">на основании </w:t>
      </w:r>
      <w:r w:rsidR="00FB27F2">
        <w:t>расчёт</w:t>
      </w:r>
      <w:r w:rsidR="0034448B">
        <w:t>а,</w:t>
      </w:r>
      <w:r w:rsidR="00137CB7" w:rsidRPr="00137CB7">
        <w:rPr>
          <w:rFonts w:eastAsia="Times New Roman"/>
          <w:i/>
          <w:sz w:val="27"/>
          <w:szCs w:val="27"/>
          <w:lang w:eastAsia="ru-RU"/>
        </w:rPr>
        <w:t xml:space="preserve"> </w:t>
      </w:r>
      <w:r w:rsidR="00137CB7" w:rsidRPr="00137CB7">
        <w:t>произведён</w:t>
      </w:r>
      <w:r w:rsidR="0034448B">
        <w:t>ного</w:t>
      </w:r>
      <w:r w:rsidR="00137CB7" w:rsidRPr="00137CB7">
        <w:t xml:space="preserve"> в соответствии с Общими требованиями к методике прогнозирования поступлений доходов в бюджеты бюджетной систем</w:t>
      </w:r>
      <w:r w:rsidR="004D4093">
        <w:t>ы Российской Федерации, утверждё</w:t>
      </w:r>
      <w:r w:rsidR="00137CB7" w:rsidRPr="00137CB7">
        <w:t>нными Постановлением Правительства РФ от 23.06.2016 № 574 по методу усреднения</w:t>
      </w:r>
      <w:proofErr w:type="gramEnd"/>
      <w:r w:rsidR="00137CB7" w:rsidRPr="00137CB7">
        <w:t xml:space="preserve"> за последние три года</w:t>
      </w:r>
      <w:r w:rsidR="00FB27F2">
        <w:t>)</w:t>
      </w:r>
      <w:r w:rsidR="00137CB7" w:rsidRPr="00137CB7">
        <w:t>.</w:t>
      </w:r>
    </w:p>
    <w:p w:rsidR="009B69BC" w:rsidRDefault="003774EF" w:rsidP="00B75566">
      <w:pPr>
        <w:spacing w:after="0"/>
        <w:ind w:firstLine="709"/>
        <w:jc w:val="both"/>
      </w:pPr>
      <w:proofErr w:type="gramStart"/>
      <w:r w:rsidRPr="000F7B43">
        <w:t>Общий объём б</w:t>
      </w:r>
      <w:r w:rsidR="00A1484A" w:rsidRPr="000F7B43">
        <w:t>езвозмездны</w:t>
      </w:r>
      <w:r w:rsidRPr="000F7B43">
        <w:t>х</w:t>
      </w:r>
      <w:r w:rsidR="00A1484A" w:rsidRPr="000F7B43">
        <w:t xml:space="preserve"> поступлени</w:t>
      </w:r>
      <w:r w:rsidRPr="000F7B43">
        <w:t>й</w:t>
      </w:r>
      <w:r w:rsidR="00A1484A" w:rsidRPr="003774EF">
        <w:t xml:space="preserve"> на 20</w:t>
      </w:r>
      <w:r w:rsidR="00B01151" w:rsidRPr="003774EF">
        <w:t>20</w:t>
      </w:r>
      <w:r w:rsidR="00A1484A" w:rsidRPr="003774EF">
        <w:t xml:space="preserve"> год </w:t>
      </w:r>
      <w:r w:rsidR="004C235D">
        <w:t>прогнозируется</w:t>
      </w:r>
      <w:r w:rsidRPr="003774EF">
        <w:t xml:space="preserve"> </w:t>
      </w:r>
      <w:r w:rsidR="00A1484A" w:rsidRPr="003774EF">
        <w:t xml:space="preserve">в сумме  </w:t>
      </w:r>
      <w:r w:rsidRPr="003774EF">
        <w:rPr>
          <w:bCs/>
        </w:rPr>
        <w:t>21 899 556,1</w:t>
      </w:r>
      <w:r w:rsidRPr="003774EF">
        <w:rPr>
          <w:b/>
          <w:bCs/>
        </w:rPr>
        <w:t xml:space="preserve"> </w:t>
      </w:r>
      <w:r w:rsidR="00A1484A" w:rsidRPr="003774EF">
        <w:t>тыс. рублей</w:t>
      </w:r>
      <w:r>
        <w:t xml:space="preserve"> </w:t>
      </w:r>
      <w:r w:rsidR="00A1484A" w:rsidRPr="003774EF">
        <w:t xml:space="preserve"> (на 202</w:t>
      </w:r>
      <w:r>
        <w:t>1</w:t>
      </w:r>
      <w:r w:rsidR="00A1484A" w:rsidRPr="003774EF">
        <w:t xml:space="preserve"> год – </w:t>
      </w:r>
      <w:r w:rsidRPr="003774EF">
        <w:rPr>
          <w:bCs/>
        </w:rPr>
        <w:t>23 215 586,6</w:t>
      </w:r>
      <w:r w:rsidR="00A1484A" w:rsidRPr="003774EF">
        <w:t xml:space="preserve"> тыс. рублей, на 202</w:t>
      </w:r>
      <w:r>
        <w:t>2</w:t>
      </w:r>
      <w:r w:rsidR="00A1484A" w:rsidRPr="003774EF">
        <w:t xml:space="preserve"> год – </w:t>
      </w:r>
      <w:r w:rsidRPr="003774EF">
        <w:rPr>
          <w:bCs/>
        </w:rPr>
        <w:t>24 477 420,1</w:t>
      </w:r>
      <w:r w:rsidR="00A1484A" w:rsidRPr="003774EF">
        <w:t xml:space="preserve"> тыс. рублей)</w:t>
      </w:r>
      <w:r w:rsidR="00F62951">
        <w:t xml:space="preserve">, в том числе </w:t>
      </w:r>
      <w:r w:rsidR="00B75566">
        <w:t xml:space="preserve">объём </w:t>
      </w:r>
      <w:r w:rsidR="00F62951" w:rsidRPr="00A07900">
        <w:t>субвенции из бюджета Федерального фонда обязательного медицинского страхования, направляем</w:t>
      </w:r>
      <w:r w:rsidR="00B75566">
        <w:t>ой</w:t>
      </w:r>
      <w:r w:rsidR="00F62951" w:rsidRPr="00A07900">
        <w:t xml:space="preserve"> на осуществление переданных в сфере обязательного медицинского страхования полномочий </w:t>
      </w:r>
      <w:r w:rsidR="009B69BC">
        <w:t>запланирован:</w:t>
      </w:r>
      <w:proofErr w:type="gramEnd"/>
    </w:p>
    <w:p w:rsidR="009B69BC" w:rsidRPr="00E13585" w:rsidRDefault="004C327E" w:rsidP="00B75566">
      <w:pPr>
        <w:spacing w:after="0"/>
        <w:ind w:firstLine="709"/>
        <w:jc w:val="both"/>
        <w:rPr>
          <w:bCs/>
        </w:rPr>
      </w:pPr>
      <w:r w:rsidRPr="00E13585">
        <w:t>на</w:t>
      </w:r>
      <w:r w:rsidR="00F62951" w:rsidRPr="00E13585">
        <w:t xml:space="preserve"> 2020 год</w:t>
      </w:r>
      <w:r w:rsidR="004C235D" w:rsidRPr="00E13585">
        <w:t xml:space="preserve"> </w:t>
      </w:r>
      <w:r w:rsidR="00A07900" w:rsidRPr="00E13585">
        <w:t xml:space="preserve">в сумме </w:t>
      </w:r>
      <w:r w:rsidR="00DC12E0" w:rsidRPr="00E13585">
        <w:rPr>
          <w:bCs/>
        </w:rPr>
        <w:t>21 464 556,1 тыс. рублей</w:t>
      </w:r>
      <w:r w:rsidR="00E13585" w:rsidRPr="00E13585">
        <w:rPr>
          <w:bCs/>
        </w:rPr>
        <w:t xml:space="preserve"> (соответствует распределению субвенций из бюджета Федерального фонда обязательного медицинского страхования приложени</w:t>
      </w:r>
      <w:r w:rsidR="000F42CC">
        <w:rPr>
          <w:bCs/>
        </w:rPr>
        <w:t>ем</w:t>
      </w:r>
      <w:r w:rsidR="00E13585" w:rsidRPr="00E13585">
        <w:rPr>
          <w:bCs/>
        </w:rPr>
        <w:t xml:space="preserve"> 6 к проекту федерального закона «О бюджете Федерального фонда обязательного медицинского страхования на 2020 год и на плановый период 2021 и 2022 годов»)</w:t>
      </w:r>
      <w:r w:rsidR="009B69BC" w:rsidRPr="00E13585">
        <w:rPr>
          <w:bCs/>
        </w:rPr>
        <w:t>;</w:t>
      </w:r>
    </w:p>
    <w:p w:rsidR="009B69BC" w:rsidRPr="0064795E" w:rsidRDefault="004C327E" w:rsidP="00B75566">
      <w:pPr>
        <w:spacing w:after="0"/>
        <w:ind w:firstLine="709"/>
        <w:jc w:val="both"/>
        <w:rPr>
          <w:bCs/>
        </w:rPr>
      </w:pPr>
      <w:r w:rsidRPr="0064795E">
        <w:rPr>
          <w:bCs/>
        </w:rPr>
        <w:lastRenderedPageBreak/>
        <w:t>на</w:t>
      </w:r>
      <w:r w:rsidR="009B69BC" w:rsidRPr="0064795E">
        <w:rPr>
          <w:bCs/>
        </w:rPr>
        <w:t xml:space="preserve"> 2021 год в сумме </w:t>
      </w:r>
      <w:r w:rsidR="0064795E" w:rsidRPr="0064795E">
        <w:rPr>
          <w:bCs/>
        </w:rPr>
        <w:t>22 753 186,6</w:t>
      </w:r>
      <w:r w:rsidR="0064795E">
        <w:rPr>
          <w:bCs/>
        </w:rPr>
        <w:t xml:space="preserve"> </w:t>
      </w:r>
      <w:r w:rsidR="009B69BC" w:rsidRPr="0064795E">
        <w:rPr>
          <w:bCs/>
        </w:rPr>
        <w:t>тыс. рублей;</w:t>
      </w:r>
    </w:p>
    <w:p w:rsidR="009B69BC" w:rsidRPr="0064795E" w:rsidRDefault="004C327E" w:rsidP="00B75566">
      <w:pPr>
        <w:spacing w:after="0"/>
        <w:ind w:firstLine="709"/>
        <w:jc w:val="both"/>
        <w:rPr>
          <w:bCs/>
        </w:rPr>
      </w:pPr>
      <w:r w:rsidRPr="0064795E">
        <w:rPr>
          <w:bCs/>
        </w:rPr>
        <w:t>на</w:t>
      </w:r>
      <w:r w:rsidR="009B69BC" w:rsidRPr="0064795E">
        <w:rPr>
          <w:bCs/>
        </w:rPr>
        <w:t xml:space="preserve"> 2022 год в сумме </w:t>
      </w:r>
      <w:r w:rsidR="0064795E" w:rsidRPr="0064795E">
        <w:rPr>
          <w:bCs/>
        </w:rPr>
        <w:t>23 989 420,1</w:t>
      </w:r>
      <w:r w:rsidR="0064795E">
        <w:rPr>
          <w:bCs/>
        </w:rPr>
        <w:t xml:space="preserve"> </w:t>
      </w:r>
      <w:r w:rsidR="009B69BC" w:rsidRPr="0064795E">
        <w:rPr>
          <w:bCs/>
        </w:rPr>
        <w:t>тыс. рублей.</w:t>
      </w:r>
    </w:p>
    <w:p w:rsidR="00B8279C" w:rsidRPr="003C3FFC" w:rsidRDefault="00B8279C" w:rsidP="00164954">
      <w:pPr>
        <w:pStyle w:val="ac"/>
        <w:spacing w:after="0"/>
        <w:ind w:left="0" w:firstLine="709"/>
        <w:jc w:val="both"/>
      </w:pPr>
      <w:r w:rsidRPr="003C3FFC">
        <w:t>Удельный вес субвенци</w:t>
      </w:r>
      <w:r w:rsidR="007F02D7">
        <w:t>и</w:t>
      </w:r>
      <w:r w:rsidRPr="003C3FFC">
        <w:t xml:space="preserve"> в общей сумме доходов </w:t>
      </w:r>
      <w:r w:rsidR="007F02D7">
        <w:t xml:space="preserve">в 2020 году и в плановом периоде 2021 и 2022 годов </w:t>
      </w:r>
      <w:r w:rsidRPr="003C3FFC">
        <w:t>состав</w:t>
      </w:r>
      <w:r w:rsidR="007F02D7">
        <w:t>ляет</w:t>
      </w:r>
      <w:r w:rsidRPr="003C3FFC">
        <w:t xml:space="preserve"> </w:t>
      </w:r>
      <w:r w:rsidR="003C3FFC" w:rsidRPr="003C3FFC">
        <w:t>97,7</w:t>
      </w:r>
      <w:r w:rsidRPr="003C3FFC">
        <w:t xml:space="preserve"> %</w:t>
      </w:r>
      <w:r w:rsidR="007F02D7">
        <w:t xml:space="preserve"> ежегодно</w:t>
      </w:r>
      <w:r w:rsidRPr="003C3FFC">
        <w:t>.</w:t>
      </w:r>
    </w:p>
    <w:p w:rsidR="00B8279C" w:rsidRPr="00182038" w:rsidRDefault="00B8279C" w:rsidP="00CE279C">
      <w:pPr>
        <w:spacing w:after="0"/>
        <w:ind w:firstLine="709"/>
        <w:jc w:val="both"/>
      </w:pPr>
      <w:proofErr w:type="gramStart"/>
      <w:r w:rsidRPr="00182038">
        <w:t>Согласно Пояснительной записке к законопроекту, при формировании доходной части б</w:t>
      </w:r>
      <w:r w:rsidR="00C5224A" w:rsidRPr="00182038">
        <w:t>юджета Фонда прогнозируемый объё</w:t>
      </w:r>
      <w:r w:rsidRPr="00182038">
        <w:t>м субвенци</w:t>
      </w:r>
      <w:r w:rsidR="00FB27F2">
        <w:t>и</w:t>
      </w:r>
      <w:r w:rsidRPr="00182038">
        <w:t xml:space="preserve"> рассчитан в соответствии с </w:t>
      </w:r>
      <w:r w:rsidR="000F42CC" w:rsidRPr="00182038">
        <w:t>методикой</w:t>
      </w:r>
      <w:r w:rsidRPr="00182038">
        <w:t xml:space="preserve"> распределения субвенций</w:t>
      </w:r>
      <w:r w:rsidR="000F42CC" w:rsidRPr="00182038">
        <w:t xml:space="preserve">, </w:t>
      </w:r>
      <w:r w:rsidRPr="00182038">
        <w:t>утвержденн</w:t>
      </w:r>
      <w:r w:rsidR="000F42CC" w:rsidRPr="00182038">
        <w:t>ой</w:t>
      </w:r>
      <w:r w:rsidRPr="00182038">
        <w:t xml:space="preserve"> постановлением Правительства Российской Федерации от 05.05.2012 № 462, исходя из численности застрахованного населения Удмуртской Республики по состоянию на 01.01.201</w:t>
      </w:r>
      <w:r w:rsidR="000F42CC" w:rsidRPr="00182038">
        <w:t>9</w:t>
      </w:r>
      <w:r w:rsidRPr="00182038">
        <w:t xml:space="preserve"> </w:t>
      </w:r>
      <w:r w:rsidR="000F42CC" w:rsidRPr="00182038">
        <w:t>–</w:t>
      </w:r>
      <w:r w:rsidRPr="00182038">
        <w:t xml:space="preserve"> </w:t>
      </w:r>
      <w:r w:rsidR="000F42CC" w:rsidRPr="00182038">
        <w:t xml:space="preserve">1 529 619 </w:t>
      </w:r>
      <w:r w:rsidRPr="00182038">
        <w:t xml:space="preserve">человек (данные статистической формы № 8, утвержденной приказом </w:t>
      </w:r>
      <w:r w:rsidR="00245C4D">
        <w:t xml:space="preserve">Федерального Фонда обязательного медицинского страхования (далее – </w:t>
      </w:r>
      <w:r w:rsidRPr="00182038">
        <w:t>ФФОМС</w:t>
      </w:r>
      <w:r w:rsidR="00245C4D">
        <w:t xml:space="preserve">) </w:t>
      </w:r>
      <w:r w:rsidRPr="00182038">
        <w:t>от 28.02.2014 № 19</w:t>
      </w:r>
      <w:proofErr w:type="gramEnd"/>
      <w:r w:rsidRPr="00182038">
        <w:t xml:space="preserve">), </w:t>
      </w:r>
      <w:proofErr w:type="spellStart"/>
      <w:proofErr w:type="gramStart"/>
      <w:r w:rsidRPr="00182038">
        <w:t>подушевых</w:t>
      </w:r>
      <w:proofErr w:type="spellEnd"/>
      <w:r w:rsidRPr="00182038">
        <w:t xml:space="preserve"> нормативов финансирования базовой программы обязательного медицинского страхования, </w:t>
      </w:r>
      <w:r w:rsidR="000F42CC" w:rsidRPr="00182038">
        <w:t>установл</w:t>
      </w:r>
      <w:r w:rsidRPr="00182038">
        <w:t>енных проект</w:t>
      </w:r>
      <w:r w:rsidR="000F42CC" w:rsidRPr="00182038">
        <w:t>ом</w:t>
      </w:r>
      <w:r w:rsidRPr="00182038">
        <w:t xml:space="preserve"> Программы государственных гарантий бесплатного оказания гражданам медицинской помощи на 20</w:t>
      </w:r>
      <w:r w:rsidR="000F42CC" w:rsidRPr="00182038">
        <w:t>20</w:t>
      </w:r>
      <w:r w:rsidRPr="00182038">
        <w:t xml:space="preserve"> год и на плановый период 202</w:t>
      </w:r>
      <w:r w:rsidR="000F42CC" w:rsidRPr="00182038">
        <w:t>1</w:t>
      </w:r>
      <w:r w:rsidRPr="00182038">
        <w:t xml:space="preserve"> и 202</w:t>
      </w:r>
      <w:r w:rsidR="000F42CC" w:rsidRPr="00182038">
        <w:t>2</w:t>
      </w:r>
      <w:r w:rsidRPr="00182038">
        <w:t xml:space="preserve"> годов </w:t>
      </w:r>
      <w:r w:rsidR="000F42CC" w:rsidRPr="00182038">
        <w:t xml:space="preserve"> </w:t>
      </w:r>
      <w:r w:rsidRPr="00182038">
        <w:t>(20</w:t>
      </w:r>
      <w:r w:rsidR="000F42CC" w:rsidRPr="00182038">
        <w:t xml:space="preserve">20 </w:t>
      </w:r>
      <w:r w:rsidRPr="00182038">
        <w:t xml:space="preserve"> год </w:t>
      </w:r>
      <w:r w:rsidR="000F42CC" w:rsidRPr="00182038">
        <w:t xml:space="preserve"> </w:t>
      </w:r>
      <w:r w:rsidR="001D768D" w:rsidRPr="00182038">
        <w:t xml:space="preserve">–  </w:t>
      </w:r>
      <w:r w:rsidR="000F42CC" w:rsidRPr="00182038">
        <w:t>12 699,2</w:t>
      </w:r>
      <w:r w:rsidRPr="00182038">
        <w:t xml:space="preserve"> </w:t>
      </w:r>
      <w:r w:rsidR="000F42CC" w:rsidRPr="00182038">
        <w:t xml:space="preserve"> </w:t>
      </w:r>
      <w:r w:rsidRPr="00182038">
        <w:t>руб., 202</w:t>
      </w:r>
      <w:r w:rsidR="000F42CC" w:rsidRPr="00182038">
        <w:t>1</w:t>
      </w:r>
      <w:r w:rsidRPr="00182038">
        <w:t xml:space="preserve"> год </w:t>
      </w:r>
      <w:r w:rsidR="001D768D" w:rsidRPr="00182038">
        <w:t>–</w:t>
      </w:r>
      <w:r w:rsidRPr="00182038">
        <w:t xml:space="preserve"> 1</w:t>
      </w:r>
      <w:r w:rsidR="000F42CC" w:rsidRPr="00182038">
        <w:t>3 461</w:t>
      </w:r>
      <w:r w:rsidRPr="00182038">
        <w:t>,</w:t>
      </w:r>
      <w:r w:rsidR="00182038" w:rsidRPr="00182038">
        <w:t>6</w:t>
      </w:r>
      <w:r w:rsidRPr="00182038">
        <w:t xml:space="preserve"> руб., </w:t>
      </w:r>
      <w:r w:rsidR="000F42CC" w:rsidRPr="00182038">
        <w:t xml:space="preserve"> </w:t>
      </w:r>
      <w:r w:rsidRPr="00182038">
        <w:t>202</w:t>
      </w:r>
      <w:r w:rsidR="000F42CC" w:rsidRPr="00182038">
        <w:t>2</w:t>
      </w:r>
      <w:r w:rsidRPr="00182038">
        <w:t xml:space="preserve"> год </w:t>
      </w:r>
      <w:r w:rsidR="001D768D" w:rsidRPr="00182038">
        <w:t>–</w:t>
      </w:r>
      <w:r w:rsidRPr="00182038">
        <w:t xml:space="preserve"> </w:t>
      </w:r>
      <w:r w:rsidR="00182038" w:rsidRPr="00182038">
        <w:t>14 193,0</w:t>
      </w:r>
      <w:r w:rsidRPr="00182038">
        <w:t xml:space="preserve"> руб.), и коэффициента дифференциации, рассчитанного для У</w:t>
      </w:r>
      <w:r w:rsidR="001D768D" w:rsidRPr="00182038">
        <w:t>дмуртской Республики</w:t>
      </w:r>
      <w:r w:rsidRPr="00182038">
        <w:t xml:space="preserve"> </w:t>
      </w:r>
      <w:r w:rsidR="001D768D" w:rsidRPr="00182038">
        <w:t>–</w:t>
      </w:r>
      <w:r w:rsidRPr="00182038">
        <w:t xml:space="preserve"> 1,105.</w:t>
      </w:r>
      <w:proofErr w:type="gramEnd"/>
    </w:p>
    <w:p w:rsidR="00B8279C" w:rsidRPr="008A2184" w:rsidRDefault="00B8279C" w:rsidP="005E2C2B">
      <w:pPr>
        <w:spacing w:after="0"/>
        <w:ind w:firstLine="709"/>
        <w:jc w:val="both"/>
      </w:pPr>
      <w:r w:rsidRPr="008A2184">
        <w:t>Рост субвенци</w:t>
      </w:r>
      <w:r w:rsidR="00FB27F2">
        <w:t>и</w:t>
      </w:r>
      <w:r w:rsidRPr="008A2184">
        <w:t xml:space="preserve"> по отношению к </w:t>
      </w:r>
      <w:r w:rsidR="008A2184" w:rsidRPr="008A2184">
        <w:t xml:space="preserve">плану </w:t>
      </w:r>
      <w:r w:rsidRPr="008A2184">
        <w:t>201</w:t>
      </w:r>
      <w:r w:rsidR="00182038" w:rsidRPr="008A2184">
        <w:t>9</w:t>
      </w:r>
      <w:r w:rsidRPr="008A2184">
        <w:t xml:space="preserve"> год</w:t>
      </w:r>
      <w:r w:rsidR="008A2184" w:rsidRPr="008A2184">
        <w:t>а</w:t>
      </w:r>
      <w:r w:rsidR="00C5224A" w:rsidRPr="008A2184">
        <w:t xml:space="preserve"> </w:t>
      </w:r>
      <w:r w:rsidRPr="008A2184">
        <w:t>(</w:t>
      </w:r>
      <w:r w:rsidR="005E2C2B" w:rsidRPr="008A2184">
        <w:rPr>
          <w:bCs/>
        </w:rPr>
        <w:t>20 051 857,5</w:t>
      </w:r>
      <w:r w:rsidRPr="008A2184">
        <w:t xml:space="preserve"> тыс. руб.) </w:t>
      </w:r>
      <w:r w:rsidR="00C5224A" w:rsidRPr="008A2184">
        <w:t>состав</w:t>
      </w:r>
      <w:r w:rsidR="008A2184">
        <w:t>ил в сумме</w:t>
      </w:r>
      <w:r w:rsidR="00C5224A" w:rsidRPr="008A2184">
        <w:t xml:space="preserve"> 1</w:t>
      </w:r>
      <w:r w:rsidR="005E2C2B" w:rsidRPr="008A2184">
        <w:t> 412 698,4</w:t>
      </w:r>
      <w:r w:rsidRPr="008A2184">
        <w:t xml:space="preserve"> тыс. руб</w:t>
      </w:r>
      <w:r w:rsidR="00C5224A" w:rsidRPr="008A2184">
        <w:t>лей, или</w:t>
      </w:r>
      <w:r w:rsidRPr="008A2184">
        <w:t xml:space="preserve"> </w:t>
      </w:r>
      <w:r w:rsidR="00182038" w:rsidRPr="008A2184">
        <w:t>7</w:t>
      </w:r>
      <w:r w:rsidRPr="008A2184">
        <w:t xml:space="preserve"> %</w:t>
      </w:r>
      <w:r w:rsidR="005E2C2B" w:rsidRPr="008A2184">
        <w:t xml:space="preserve">. </w:t>
      </w:r>
    </w:p>
    <w:p w:rsidR="00B8279C" w:rsidRPr="00182038" w:rsidRDefault="00600CAD" w:rsidP="00461CF1">
      <w:pPr>
        <w:spacing w:after="0"/>
        <w:ind w:firstLine="709"/>
        <w:jc w:val="both"/>
      </w:pPr>
      <w:r w:rsidRPr="00182038">
        <w:t>С</w:t>
      </w:r>
      <w:r w:rsidR="00B8279C" w:rsidRPr="00182038">
        <w:t>убвенция ФФОМС включает в себя средства, перечисляемые субъектом Р</w:t>
      </w:r>
      <w:r w:rsidRPr="00182038">
        <w:t xml:space="preserve">оссийской </w:t>
      </w:r>
      <w:r w:rsidR="00B8279C" w:rsidRPr="00182038">
        <w:t>Ф</w:t>
      </w:r>
      <w:r w:rsidRPr="00182038">
        <w:t>едерации</w:t>
      </w:r>
      <w:r w:rsidR="00B8279C" w:rsidRPr="00182038">
        <w:t xml:space="preserve"> в бюджет ФФОМС на </w:t>
      </w:r>
      <w:r w:rsidR="00E50262">
        <w:t xml:space="preserve">обязательное медицинское страхование (далее – ОМС) </w:t>
      </w:r>
      <w:r w:rsidR="00B8279C" w:rsidRPr="00182038">
        <w:t>неработающего населения.</w:t>
      </w:r>
    </w:p>
    <w:p w:rsidR="00927566" w:rsidRPr="0050786F" w:rsidRDefault="00B8279C" w:rsidP="00245C4D">
      <w:pPr>
        <w:spacing w:after="0"/>
        <w:ind w:firstLine="709"/>
        <w:jc w:val="both"/>
        <w:rPr>
          <w:bCs/>
          <w:i/>
        </w:rPr>
      </w:pPr>
      <w:r w:rsidRPr="0050786F">
        <w:t xml:space="preserve">Проектом </w:t>
      </w:r>
      <w:r w:rsidR="00790F3C" w:rsidRPr="0050786F">
        <w:t>з</w:t>
      </w:r>
      <w:r w:rsidRPr="0050786F">
        <w:t xml:space="preserve">акона </w:t>
      </w:r>
      <w:r w:rsidR="00790F3C" w:rsidRPr="0050786F">
        <w:t>Удмуртской Республики «О</w:t>
      </w:r>
      <w:r w:rsidRPr="0050786F">
        <w:t xml:space="preserve"> бюджете У</w:t>
      </w:r>
      <w:r w:rsidR="00600CAD" w:rsidRPr="0050786F">
        <w:t xml:space="preserve">дмуртской </w:t>
      </w:r>
      <w:r w:rsidRPr="0050786F">
        <w:t>Р</w:t>
      </w:r>
      <w:r w:rsidR="00600CAD" w:rsidRPr="0050786F">
        <w:t xml:space="preserve">еспублики </w:t>
      </w:r>
      <w:r w:rsidR="00790F3C" w:rsidRPr="0050786F">
        <w:t xml:space="preserve">на 2020 год и на плановый период 2021 и 2022 годов» (далее  </w:t>
      </w:r>
      <w:proofErr w:type="gramStart"/>
      <w:r w:rsidR="00790F3C" w:rsidRPr="0050786F">
        <w:t>–З</w:t>
      </w:r>
      <w:proofErr w:type="gramEnd"/>
      <w:r w:rsidR="00790F3C" w:rsidRPr="0050786F">
        <w:t xml:space="preserve">аконопроект о бюджете Удмуртской Республики) </w:t>
      </w:r>
      <w:r w:rsidR="00600CAD" w:rsidRPr="0050786F">
        <w:t>объё</w:t>
      </w:r>
      <w:r w:rsidRPr="0050786F">
        <w:t>м</w:t>
      </w:r>
      <w:r w:rsidR="006C6EC2">
        <w:t>ы</w:t>
      </w:r>
      <w:r w:rsidRPr="0050786F">
        <w:t xml:space="preserve"> бюджетных ассигнований на ОМС неработающего населения </w:t>
      </w:r>
      <w:r w:rsidR="00927566" w:rsidRPr="0050786F">
        <w:t>запланирован</w:t>
      </w:r>
      <w:r w:rsidR="006C6EC2">
        <w:t>ы</w:t>
      </w:r>
      <w:r w:rsidRPr="0050786F">
        <w:t xml:space="preserve"> на 20</w:t>
      </w:r>
      <w:r w:rsidR="005E2C2B" w:rsidRPr="0050786F">
        <w:t>20</w:t>
      </w:r>
      <w:r w:rsidRPr="0050786F">
        <w:t xml:space="preserve"> год в </w:t>
      </w:r>
      <w:r w:rsidR="00600CAD" w:rsidRPr="0050786F">
        <w:t>сумме</w:t>
      </w:r>
      <w:r w:rsidRPr="0050786F">
        <w:t xml:space="preserve"> </w:t>
      </w:r>
      <w:r w:rsidR="00245C4D" w:rsidRPr="0050786F">
        <w:rPr>
          <w:bCs/>
        </w:rPr>
        <w:t>6 872 176,2 тыс. рублей</w:t>
      </w:r>
      <w:r w:rsidR="006C6EC2">
        <w:rPr>
          <w:bCs/>
        </w:rPr>
        <w:t>, на 2021 год – 7 303 159,2 тыс. рублей, на 2022 год – 7 593 832,2 тыс. рублей</w:t>
      </w:r>
      <w:r w:rsidR="00245C4D" w:rsidRPr="0050786F">
        <w:rPr>
          <w:bCs/>
          <w:i/>
        </w:rPr>
        <w:t xml:space="preserve">. </w:t>
      </w:r>
    </w:p>
    <w:p w:rsidR="00927566" w:rsidRPr="0050786F" w:rsidRDefault="00790F3C" w:rsidP="00DB5D9A">
      <w:pPr>
        <w:spacing w:after="0"/>
        <w:ind w:firstLine="709"/>
        <w:jc w:val="both"/>
        <w:rPr>
          <w:bCs/>
        </w:rPr>
      </w:pPr>
      <w:r w:rsidRPr="0050786F">
        <w:rPr>
          <w:bCs/>
        </w:rPr>
        <w:t xml:space="preserve">Плановый объём </w:t>
      </w:r>
      <w:r w:rsidR="004E6876" w:rsidRPr="0050786F">
        <w:rPr>
          <w:bCs/>
        </w:rPr>
        <w:t xml:space="preserve">указанных </w:t>
      </w:r>
      <w:r w:rsidRPr="0050786F">
        <w:rPr>
          <w:bCs/>
        </w:rPr>
        <w:t>р</w:t>
      </w:r>
      <w:r w:rsidR="00245C4D" w:rsidRPr="0050786F">
        <w:rPr>
          <w:bCs/>
        </w:rPr>
        <w:t>асход</w:t>
      </w:r>
      <w:r w:rsidRPr="0050786F">
        <w:rPr>
          <w:bCs/>
        </w:rPr>
        <w:t>ов</w:t>
      </w:r>
      <w:r w:rsidR="00245C4D" w:rsidRPr="0050786F">
        <w:rPr>
          <w:bCs/>
        </w:rPr>
        <w:t xml:space="preserve"> рассчит</w:t>
      </w:r>
      <w:r w:rsidR="004E6876" w:rsidRPr="0050786F">
        <w:rPr>
          <w:bCs/>
        </w:rPr>
        <w:t xml:space="preserve">ывается в соответствии с </w:t>
      </w:r>
      <w:r w:rsidR="00245C4D" w:rsidRPr="0050786F">
        <w:rPr>
          <w:bCs/>
        </w:rPr>
        <w:t xml:space="preserve"> </w:t>
      </w:r>
      <w:r w:rsidR="004E6876" w:rsidRPr="0050786F">
        <w:rPr>
          <w:bCs/>
        </w:rPr>
        <w:t xml:space="preserve">Федеральным законом от 30.11.2011 № 354-ФЗ «О размере и порядке расчёта тарифа страхового взноса на обязательное медицинское страхование неработающего населения», </w:t>
      </w:r>
      <w:r w:rsidR="00245C4D" w:rsidRPr="0050786F">
        <w:rPr>
          <w:bCs/>
        </w:rPr>
        <w:t>исходя из численности неработающ</w:t>
      </w:r>
      <w:r w:rsidR="00267AA4" w:rsidRPr="0050786F">
        <w:rPr>
          <w:bCs/>
        </w:rPr>
        <w:t>их застрахованных лиц в Удмуртской Республике</w:t>
      </w:r>
      <w:r w:rsidR="00927566" w:rsidRPr="0050786F">
        <w:rPr>
          <w:bCs/>
        </w:rPr>
        <w:t xml:space="preserve"> (</w:t>
      </w:r>
      <w:r w:rsidR="004E6876" w:rsidRPr="0050786F">
        <w:rPr>
          <w:bCs/>
        </w:rPr>
        <w:t xml:space="preserve">на 01.01 2019 года – </w:t>
      </w:r>
      <w:r w:rsidR="00927566" w:rsidRPr="0050786F">
        <w:rPr>
          <w:bCs/>
        </w:rPr>
        <w:t>817 902 чел.)</w:t>
      </w:r>
      <w:r w:rsidR="00245C4D" w:rsidRPr="0050786F">
        <w:rPr>
          <w:bCs/>
        </w:rPr>
        <w:t>, тарифа страхового взноса и</w:t>
      </w:r>
      <w:r w:rsidR="00245C4D" w:rsidRPr="0050786F">
        <w:rPr>
          <w:b/>
          <w:bCs/>
        </w:rPr>
        <w:t xml:space="preserve"> </w:t>
      </w:r>
      <w:r w:rsidR="00245C4D" w:rsidRPr="0050786F">
        <w:rPr>
          <w:bCs/>
        </w:rPr>
        <w:t xml:space="preserve">стоимости медицинских услуг. </w:t>
      </w:r>
    </w:p>
    <w:p w:rsidR="00927566" w:rsidRPr="0050786F" w:rsidRDefault="00927566" w:rsidP="00927566">
      <w:pPr>
        <w:spacing w:after="0"/>
        <w:ind w:firstLine="709"/>
        <w:jc w:val="both"/>
        <w:rPr>
          <w:bCs/>
        </w:rPr>
      </w:pPr>
      <w:proofErr w:type="gramStart"/>
      <w:r w:rsidRPr="0050786F">
        <w:rPr>
          <w:bCs/>
        </w:rPr>
        <w:t xml:space="preserve">Постоянная комиссия отмечает, что при расчёте объёмов </w:t>
      </w:r>
      <w:r w:rsidR="004E6876" w:rsidRPr="0050786F">
        <w:rPr>
          <w:bCs/>
        </w:rPr>
        <w:t>страховых взносов</w:t>
      </w:r>
      <w:r w:rsidRPr="0050786F">
        <w:rPr>
          <w:bCs/>
        </w:rPr>
        <w:t xml:space="preserve"> на ОМС неработающего населения при подготовке Законопроекта о бюджете Удмуртской Республики применены коэффициенты, действующие </w:t>
      </w:r>
      <w:r w:rsidRPr="0050786F">
        <w:rPr>
          <w:bCs/>
        </w:rPr>
        <w:lastRenderedPageBreak/>
        <w:t>ранее, которые были установлены частью 3 статьи 7  Федерального закона от 28.11.2018 № 433-ФЗ «О бюджете Федерального фонда обязательного медицинского страхования на 2019 год и на плановый период 2020 и 2021 годов»: на 2020 год - 1,162, на 2021</w:t>
      </w:r>
      <w:proofErr w:type="gramEnd"/>
      <w:r w:rsidRPr="0050786F">
        <w:rPr>
          <w:bCs/>
        </w:rPr>
        <w:t xml:space="preserve"> год - 1,208. </w:t>
      </w:r>
    </w:p>
    <w:p w:rsidR="00151958" w:rsidRPr="0050786F" w:rsidRDefault="00927566" w:rsidP="00DB5D9A">
      <w:pPr>
        <w:spacing w:after="0"/>
        <w:ind w:firstLine="709"/>
        <w:jc w:val="both"/>
        <w:rPr>
          <w:bCs/>
        </w:rPr>
      </w:pPr>
      <w:r w:rsidRPr="0050786F">
        <w:rPr>
          <w:bCs/>
        </w:rPr>
        <w:t>При этом</w:t>
      </w:r>
      <w:proofErr w:type="gramStart"/>
      <w:r w:rsidRPr="0050786F">
        <w:rPr>
          <w:bCs/>
        </w:rPr>
        <w:t>,</w:t>
      </w:r>
      <w:proofErr w:type="gramEnd"/>
      <w:r w:rsidRPr="0050786F">
        <w:rPr>
          <w:bCs/>
        </w:rPr>
        <w:t xml:space="preserve"> </w:t>
      </w:r>
      <w:r w:rsidR="001E2CBF" w:rsidRPr="0050786F">
        <w:rPr>
          <w:bCs/>
        </w:rPr>
        <w:t>в проекте федерального закона «О бюджете Федерального фонда обязательного медицинского страхования на 2020</w:t>
      </w:r>
      <w:r w:rsidR="001E2CBF" w:rsidRPr="0050786F">
        <w:rPr>
          <w:bCs/>
          <w:lang w:val="en-US"/>
        </w:rPr>
        <w:t> </w:t>
      </w:r>
      <w:r w:rsidR="001E2CBF" w:rsidRPr="0050786F">
        <w:rPr>
          <w:bCs/>
        </w:rPr>
        <w:t>год и на плановый период 2021 и 2022</w:t>
      </w:r>
      <w:r w:rsidR="001E2CBF" w:rsidRPr="0050786F">
        <w:rPr>
          <w:bCs/>
          <w:lang w:val="en-US"/>
        </w:rPr>
        <w:t> </w:t>
      </w:r>
      <w:r w:rsidR="001E2CBF" w:rsidRPr="0050786F">
        <w:rPr>
          <w:bCs/>
        </w:rPr>
        <w:t>годов» значения к</w:t>
      </w:r>
      <w:r w:rsidR="001D624A" w:rsidRPr="0050786F">
        <w:rPr>
          <w:bCs/>
        </w:rPr>
        <w:t>оэффициент</w:t>
      </w:r>
      <w:r w:rsidR="001E2CBF" w:rsidRPr="0050786F">
        <w:rPr>
          <w:bCs/>
        </w:rPr>
        <w:t>а</w:t>
      </w:r>
      <w:r w:rsidR="001D624A" w:rsidRPr="0050786F">
        <w:rPr>
          <w:bCs/>
        </w:rPr>
        <w:t xml:space="preserve"> удорожания стоим</w:t>
      </w:r>
      <w:r w:rsidR="00892F60" w:rsidRPr="0050786F">
        <w:rPr>
          <w:bCs/>
        </w:rPr>
        <w:t>ости медицинских услуг</w:t>
      </w:r>
      <w:r w:rsidRPr="0050786F">
        <w:rPr>
          <w:bCs/>
        </w:rPr>
        <w:t>, применяем</w:t>
      </w:r>
      <w:r w:rsidR="00FB27F2">
        <w:rPr>
          <w:bCs/>
        </w:rPr>
        <w:t>ого</w:t>
      </w:r>
      <w:r w:rsidR="00892F60" w:rsidRPr="0050786F">
        <w:rPr>
          <w:bCs/>
        </w:rPr>
        <w:t xml:space="preserve"> для расчё</w:t>
      </w:r>
      <w:r w:rsidR="001D624A" w:rsidRPr="0050786F">
        <w:rPr>
          <w:bCs/>
        </w:rPr>
        <w:t xml:space="preserve">та тарифа страхового взноса на обязательное медицинское страхование неработающего населения </w:t>
      </w:r>
      <w:r w:rsidR="001E2CBF" w:rsidRPr="0050786F">
        <w:rPr>
          <w:bCs/>
        </w:rPr>
        <w:t>уточнены</w:t>
      </w:r>
      <w:r w:rsidR="006C6EC2">
        <w:rPr>
          <w:bCs/>
        </w:rPr>
        <w:t xml:space="preserve"> и составляют</w:t>
      </w:r>
      <w:r w:rsidR="00DB5D9A" w:rsidRPr="0050786F">
        <w:rPr>
          <w:bCs/>
        </w:rPr>
        <w:t xml:space="preserve">: </w:t>
      </w:r>
      <w:r w:rsidR="001D624A" w:rsidRPr="0050786F">
        <w:rPr>
          <w:bCs/>
        </w:rPr>
        <w:t xml:space="preserve">на 2020 год </w:t>
      </w:r>
      <w:r w:rsidR="006C6EC2">
        <w:rPr>
          <w:bCs/>
        </w:rPr>
        <w:t>–</w:t>
      </w:r>
      <w:r w:rsidR="001D624A" w:rsidRPr="0050786F">
        <w:rPr>
          <w:bCs/>
        </w:rPr>
        <w:t xml:space="preserve"> 1,153, на 2021 год </w:t>
      </w:r>
      <w:r w:rsidR="006C6EC2">
        <w:rPr>
          <w:bCs/>
        </w:rPr>
        <w:t>–</w:t>
      </w:r>
      <w:r w:rsidR="001D624A" w:rsidRPr="0050786F">
        <w:rPr>
          <w:bCs/>
        </w:rPr>
        <w:t xml:space="preserve"> 1,199, на 2022 год </w:t>
      </w:r>
      <w:r w:rsidR="006C6EC2">
        <w:rPr>
          <w:bCs/>
        </w:rPr>
        <w:t>–</w:t>
      </w:r>
      <w:r w:rsidR="001D624A" w:rsidRPr="0050786F">
        <w:rPr>
          <w:bCs/>
        </w:rPr>
        <w:t xml:space="preserve"> 1,247.</w:t>
      </w:r>
    </w:p>
    <w:p w:rsidR="00A8146D" w:rsidRPr="00A8146D" w:rsidRDefault="00A8146D" w:rsidP="00A8146D">
      <w:pPr>
        <w:spacing w:after="0"/>
        <w:ind w:firstLine="709"/>
        <w:jc w:val="both"/>
        <w:rPr>
          <w:bCs/>
        </w:rPr>
      </w:pPr>
      <w:proofErr w:type="gramStart"/>
      <w:r w:rsidRPr="0050786F">
        <w:rPr>
          <w:bCs/>
        </w:rPr>
        <w:t xml:space="preserve">Из вышеизложенного следует, что плановые суммы бюджетных ассигнований, предусмотренных в проекте закона «О бюджете Удмуртской Республики на 2020 год и на плановый период 2021 и 2022 годов» на обязательное медицинское страхование неработающего населения, завышены: в 2020 году на сумму 53 245,4 тыс. рублей, в 2021 году – </w:t>
      </w:r>
      <w:r w:rsidR="00EE12B8" w:rsidRPr="0050786F">
        <w:rPr>
          <w:bCs/>
        </w:rPr>
        <w:t xml:space="preserve">на 212 194,3, в 2022 году – </w:t>
      </w:r>
      <w:r w:rsidRPr="0050786F">
        <w:rPr>
          <w:bCs/>
        </w:rPr>
        <w:t xml:space="preserve">на </w:t>
      </w:r>
      <w:r w:rsidR="00EE12B8" w:rsidRPr="0050786F">
        <w:rPr>
          <w:bCs/>
        </w:rPr>
        <w:t>218 973,6 тыс. рублей.</w:t>
      </w:r>
      <w:proofErr w:type="gramEnd"/>
      <w:r w:rsidR="004E6876" w:rsidRPr="0050786F">
        <w:rPr>
          <w:bCs/>
        </w:rPr>
        <w:t xml:space="preserve"> Указанные суммы бюджетных ассигнований требуют корректировки.</w:t>
      </w:r>
    </w:p>
    <w:p w:rsidR="00B8279C" w:rsidRPr="00875EB5" w:rsidRDefault="00DD0557" w:rsidP="00DD0557">
      <w:pPr>
        <w:spacing w:after="0"/>
        <w:ind w:firstLine="709"/>
        <w:jc w:val="both"/>
      </w:pPr>
      <w:proofErr w:type="gramStart"/>
      <w:r w:rsidRPr="00875EB5">
        <w:t>Прочие межбюджетные трансферты, передаваемые бюджетам территориальных фондов обязательного медицинского страхования запланированы</w:t>
      </w:r>
      <w:proofErr w:type="gramEnd"/>
      <w:r w:rsidRPr="00875EB5">
        <w:t xml:space="preserve"> на 20</w:t>
      </w:r>
      <w:r w:rsidR="00875EB5" w:rsidRPr="00875EB5">
        <w:t>20</w:t>
      </w:r>
      <w:r w:rsidRPr="00875EB5">
        <w:t xml:space="preserve"> год в сумме </w:t>
      </w:r>
      <w:r w:rsidR="00875EB5" w:rsidRPr="00875EB5">
        <w:t>435</w:t>
      </w:r>
      <w:r w:rsidR="00164954" w:rsidRPr="00875EB5">
        <w:t xml:space="preserve"> 000,0 тыс. рублей</w:t>
      </w:r>
      <w:r w:rsidR="00B8279C" w:rsidRPr="00875EB5">
        <w:t xml:space="preserve">, </w:t>
      </w:r>
      <w:r w:rsidRPr="00875EB5">
        <w:t>на</w:t>
      </w:r>
      <w:r w:rsidR="00B8279C" w:rsidRPr="00875EB5">
        <w:t xml:space="preserve"> 202</w:t>
      </w:r>
      <w:r w:rsidR="00875EB5" w:rsidRPr="00875EB5">
        <w:t>1</w:t>
      </w:r>
      <w:r w:rsidR="00B8279C" w:rsidRPr="00875EB5">
        <w:t xml:space="preserve"> год </w:t>
      </w:r>
      <w:r w:rsidRPr="00875EB5">
        <w:t>в сумме</w:t>
      </w:r>
      <w:r w:rsidR="00B8279C" w:rsidRPr="00875EB5">
        <w:t xml:space="preserve"> </w:t>
      </w:r>
      <w:r w:rsidR="00875EB5" w:rsidRPr="00875EB5">
        <w:rPr>
          <w:bCs/>
        </w:rPr>
        <w:t>462 400,0</w:t>
      </w:r>
      <w:r w:rsidR="00B8279C" w:rsidRPr="00875EB5">
        <w:t xml:space="preserve"> тыс. руб</w:t>
      </w:r>
      <w:r w:rsidR="00164954" w:rsidRPr="00875EB5">
        <w:t>лей</w:t>
      </w:r>
      <w:r w:rsidR="00B8279C" w:rsidRPr="00875EB5">
        <w:t xml:space="preserve">, </w:t>
      </w:r>
      <w:r w:rsidRPr="00875EB5">
        <w:t>на</w:t>
      </w:r>
      <w:r w:rsidR="00B8279C" w:rsidRPr="00875EB5">
        <w:t xml:space="preserve"> 202</w:t>
      </w:r>
      <w:r w:rsidR="00875EB5" w:rsidRPr="00875EB5">
        <w:t>2</w:t>
      </w:r>
      <w:r w:rsidR="00B8279C" w:rsidRPr="00875EB5">
        <w:t xml:space="preserve"> год </w:t>
      </w:r>
      <w:r w:rsidRPr="00875EB5">
        <w:t>в сумме</w:t>
      </w:r>
      <w:r w:rsidR="00B8279C" w:rsidRPr="00875EB5">
        <w:t xml:space="preserve"> </w:t>
      </w:r>
      <w:r w:rsidR="00875EB5" w:rsidRPr="00875EB5">
        <w:rPr>
          <w:bCs/>
        </w:rPr>
        <w:t>488 000,0</w:t>
      </w:r>
      <w:r w:rsidR="00B8279C" w:rsidRPr="00875EB5">
        <w:t xml:space="preserve"> тыс. руб</w:t>
      </w:r>
      <w:r w:rsidR="00164954" w:rsidRPr="00875EB5">
        <w:t>лей</w:t>
      </w:r>
      <w:r w:rsidR="00B8279C" w:rsidRPr="00875EB5">
        <w:t>. Указанные поступления прогнозируются от территориальных фондов иных субъектов Российской Федерации за оказанное лечение граждан, застрахованных на их территории, и пролеченных в медицинских организациях Удмуртской Республики, исходя из оценки ожидаемого их исполнения в 20</w:t>
      </w:r>
      <w:r w:rsidR="00875EB5">
        <w:t>19</w:t>
      </w:r>
      <w:r w:rsidR="00B8279C" w:rsidRPr="00875EB5">
        <w:t xml:space="preserve"> году</w:t>
      </w:r>
      <w:r w:rsidR="006315A2">
        <w:t xml:space="preserve"> (438 300,0 тыс. рублей), с учё</w:t>
      </w:r>
      <w:r w:rsidR="00B8279C" w:rsidRPr="00875EB5">
        <w:t>том планируемого увеличения стоимости тарифа</w:t>
      </w:r>
      <w:r w:rsidRPr="00875EB5">
        <w:t>.</w:t>
      </w:r>
    </w:p>
    <w:p w:rsidR="00B8279C" w:rsidRPr="00E83A7B" w:rsidRDefault="00DD0557" w:rsidP="00A979C4">
      <w:pPr>
        <w:spacing w:after="0"/>
        <w:ind w:firstLine="709"/>
        <w:jc w:val="both"/>
      </w:pPr>
      <w:r w:rsidRPr="00E83A7B">
        <w:t>Р</w:t>
      </w:r>
      <w:r w:rsidR="00B8279C" w:rsidRPr="00E83A7B">
        <w:t>ост доходов бюджета Фонда</w:t>
      </w:r>
      <w:r w:rsidRPr="00E83A7B">
        <w:t xml:space="preserve"> </w:t>
      </w:r>
      <w:r w:rsidR="00B8279C" w:rsidRPr="00E83A7B">
        <w:t xml:space="preserve">прогнозируется </w:t>
      </w:r>
      <w:r w:rsidRPr="00E83A7B">
        <w:t>в основном за счё</w:t>
      </w:r>
      <w:r w:rsidR="00B8279C" w:rsidRPr="00E83A7B">
        <w:t>т увеличения субвенци</w:t>
      </w:r>
      <w:r w:rsidR="00094F35">
        <w:t>и</w:t>
      </w:r>
      <w:r w:rsidR="00B8279C" w:rsidRPr="00E83A7B">
        <w:t xml:space="preserve"> из ФФОМС, предоставляем</w:t>
      </w:r>
      <w:r w:rsidR="00094F35">
        <w:t>ой</w:t>
      </w:r>
      <w:r w:rsidR="00B8279C" w:rsidRPr="00E83A7B">
        <w:t xml:space="preserve"> Фонду на финансовое обеспечение организации обязательного медицинского страхования на территории У</w:t>
      </w:r>
      <w:r w:rsidR="00A979C4" w:rsidRPr="00E83A7B">
        <w:t xml:space="preserve">дмуртской </w:t>
      </w:r>
      <w:r w:rsidR="00B8279C" w:rsidRPr="00E83A7B">
        <w:t>Р</w:t>
      </w:r>
      <w:r w:rsidR="00A979C4" w:rsidRPr="00E83A7B">
        <w:t>еспублики. За счё</w:t>
      </w:r>
      <w:r w:rsidR="00B8279C" w:rsidRPr="00E83A7B">
        <w:t>т субвенци</w:t>
      </w:r>
      <w:r w:rsidR="00094F35">
        <w:t>и</w:t>
      </w:r>
      <w:r w:rsidR="00B8279C" w:rsidRPr="00E83A7B">
        <w:t xml:space="preserve"> обеспечивается покрытие</w:t>
      </w:r>
      <w:r w:rsidR="00A979C4" w:rsidRPr="00E83A7B">
        <w:t xml:space="preserve"> </w:t>
      </w:r>
      <w:r w:rsidR="00B8279C" w:rsidRPr="00E83A7B">
        <w:t xml:space="preserve">расходов базовой программы обязательного </w:t>
      </w:r>
      <w:r w:rsidR="00A979C4" w:rsidRPr="00E83A7B">
        <w:t>медицинского страхования, включё</w:t>
      </w:r>
      <w:r w:rsidR="00B8279C" w:rsidRPr="00E83A7B">
        <w:t xml:space="preserve">нных в структуру тарифа на оплату медицинской помощи, которая установлена </w:t>
      </w:r>
      <w:r w:rsidR="00A979C4" w:rsidRPr="00E83A7B">
        <w:t xml:space="preserve">частью </w:t>
      </w:r>
      <w:r w:rsidR="00B8279C" w:rsidRPr="00E83A7B">
        <w:t>7 ст</w:t>
      </w:r>
      <w:r w:rsidR="00A979C4" w:rsidRPr="00E83A7B">
        <w:t xml:space="preserve">атьи </w:t>
      </w:r>
      <w:r w:rsidR="00B8279C" w:rsidRPr="00E83A7B">
        <w:t xml:space="preserve">35 Федерального закона </w:t>
      </w:r>
      <w:r w:rsidR="00A42F0E" w:rsidRPr="00E83A7B">
        <w:t xml:space="preserve">            </w:t>
      </w:r>
      <w:r w:rsidR="00B8279C" w:rsidRPr="00E83A7B">
        <w:t>№ 326-Ф</w:t>
      </w:r>
      <w:r w:rsidR="00E83A7B" w:rsidRPr="00E83A7B">
        <w:t>З</w:t>
      </w:r>
      <w:r w:rsidR="00B8279C" w:rsidRPr="00E83A7B">
        <w:t>, в том числе оплата высокотехнологичной медицинской помощи, включенной в базовую программу обязательного медицинского страхования.</w:t>
      </w:r>
    </w:p>
    <w:p w:rsidR="00E345D3" w:rsidRPr="00FD20E5" w:rsidRDefault="00E345D3" w:rsidP="00E345D3">
      <w:pPr>
        <w:spacing w:after="0"/>
        <w:ind w:firstLine="709"/>
        <w:jc w:val="both"/>
        <w:rPr>
          <w:sz w:val="16"/>
          <w:szCs w:val="16"/>
          <w:highlight w:val="yellow"/>
        </w:rPr>
      </w:pPr>
    </w:p>
    <w:p w:rsidR="004147CC" w:rsidRPr="004147CC" w:rsidRDefault="0012018A" w:rsidP="004147CC">
      <w:pPr>
        <w:spacing w:after="0"/>
        <w:ind w:firstLine="709"/>
        <w:jc w:val="both"/>
      </w:pPr>
      <w:proofErr w:type="gramStart"/>
      <w:r w:rsidRPr="00BF2785">
        <w:rPr>
          <w:b/>
        </w:rPr>
        <w:t>Расходная часть бюджета Фонда</w:t>
      </w:r>
      <w:r w:rsidRPr="00BF2785">
        <w:t xml:space="preserve"> </w:t>
      </w:r>
      <w:r w:rsidRPr="00A4537C">
        <w:t xml:space="preserve">планируется </w:t>
      </w:r>
      <w:r w:rsidR="00B8279C" w:rsidRPr="00A4537C">
        <w:t>на 20</w:t>
      </w:r>
      <w:r w:rsidR="00A4537C" w:rsidRPr="00A4537C">
        <w:t>20</w:t>
      </w:r>
      <w:r w:rsidR="00B8279C" w:rsidRPr="00A4537C">
        <w:t xml:space="preserve"> год в сумме </w:t>
      </w:r>
      <w:r w:rsidR="00E345D3" w:rsidRPr="00A4537C">
        <w:t xml:space="preserve">               </w:t>
      </w:r>
      <w:r w:rsidR="00A4537C" w:rsidRPr="00A4537C">
        <w:t>21 961 556,1</w:t>
      </w:r>
      <w:r w:rsidR="00B8279C" w:rsidRPr="00A4537C">
        <w:t xml:space="preserve"> тыс. руб</w:t>
      </w:r>
      <w:r w:rsidR="00E345D3" w:rsidRPr="00A4537C">
        <w:t>лей</w:t>
      </w:r>
      <w:r w:rsidR="00B8279C" w:rsidRPr="00A4537C">
        <w:t xml:space="preserve">, </w:t>
      </w:r>
      <w:r w:rsidR="00A4537C" w:rsidRPr="00A4537C">
        <w:t>рост к плановым назначениям на 2019 год</w:t>
      </w:r>
      <w:r w:rsidR="00A4537C">
        <w:t xml:space="preserve"> (20 557 196,4 тыс. рублей)</w:t>
      </w:r>
      <w:r w:rsidR="00A4537C" w:rsidRPr="00A4537C">
        <w:t xml:space="preserve"> составляет 1 </w:t>
      </w:r>
      <w:r w:rsidR="00A4537C">
        <w:t>404</w:t>
      </w:r>
      <w:r w:rsidR="00A4537C" w:rsidRPr="00A4537C">
        <w:t xml:space="preserve"> </w:t>
      </w:r>
      <w:r w:rsidR="00A4537C">
        <w:t>359</w:t>
      </w:r>
      <w:r w:rsidR="00A4537C" w:rsidRPr="00A4537C">
        <w:t>,</w:t>
      </w:r>
      <w:r w:rsidR="00A4537C">
        <w:t>7</w:t>
      </w:r>
      <w:r w:rsidR="00A4537C" w:rsidRPr="00A4537C">
        <w:t xml:space="preserve"> тыс. рублей или 6,</w:t>
      </w:r>
      <w:r w:rsidR="00A4537C">
        <w:t>8</w:t>
      </w:r>
      <w:r w:rsidR="00A4537C" w:rsidRPr="00A4537C">
        <w:t xml:space="preserve"> %.</w:t>
      </w:r>
      <w:r w:rsidR="004147CC">
        <w:t xml:space="preserve"> </w:t>
      </w:r>
      <w:r w:rsidR="004147CC" w:rsidRPr="004147CC">
        <w:t xml:space="preserve">По </w:t>
      </w:r>
      <w:r w:rsidR="004147CC" w:rsidRPr="004147CC">
        <w:lastRenderedPageBreak/>
        <w:t xml:space="preserve">отношению к ожидаемой оценке исполнения </w:t>
      </w:r>
      <w:r w:rsidR="004147CC">
        <w:t>расходов</w:t>
      </w:r>
      <w:r w:rsidR="004147CC" w:rsidRPr="004147CC">
        <w:t xml:space="preserve"> бюджета Фонда за 2019 год (20 5</w:t>
      </w:r>
      <w:r w:rsidR="004147CC">
        <w:t>83</w:t>
      </w:r>
      <w:r w:rsidR="004147CC" w:rsidRPr="004147CC">
        <w:t> </w:t>
      </w:r>
      <w:r w:rsidR="004147CC">
        <w:t>331</w:t>
      </w:r>
      <w:r w:rsidR="004147CC" w:rsidRPr="004147CC">
        <w:t>,</w:t>
      </w:r>
      <w:r w:rsidR="004147CC">
        <w:t xml:space="preserve">8 </w:t>
      </w:r>
      <w:r w:rsidR="004147CC" w:rsidRPr="004147CC">
        <w:t xml:space="preserve"> тыс. рублей) планируемое увеличение  составит 6,</w:t>
      </w:r>
      <w:r w:rsidR="004147CC">
        <w:t>7</w:t>
      </w:r>
      <w:r w:rsidR="004147CC" w:rsidRPr="004147CC">
        <w:t xml:space="preserve"> %.</w:t>
      </w:r>
      <w:proofErr w:type="gramEnd"/>
    </w:p>
    <w:p w:rsidR="00B8279C" w:rsidRPr="00AE2795" w:rsidRDefault="00B8279C" w:rsidP="00E345D3">
      <w:pPr>
        <w:spacing w:after="0"/>
        <w:ind w:firstLine="709"/>
        <w:jc w:val="both"/>
      </w:pPr>
      <w:r w:rsidRPr="00AE2795">
        <w:t>На плановый период предусмотрено увеличение расходов:</w:t>
      </w:r>
    </w:p>
    <w:p w:rsidR="00B8279C" w:rsidRPr="00AE2795" w:rsidRDefault="00E345D3" w:rsidP="00E345D3">
      <w:pPr>
        <w:spacing w:after="0"/>
        <w:ind w:firstLine="709"/>
        <w:jc w:val="both"/>
      </w:pPr>
      <w:r w:rsidRPr="00AE2795">
        <w:t>в</w:t>
      </w:r>
      <w:r w:rsidR="00B8279C" w:rsidRPr="00AE2795">
        <w:t xml:space="preserve"> 202</w:t>
      </w:r>
      <w:r w:rsidR="00AE2795" w:rsidRPr="00AE2795">
        <w:t>1</w:t>
      </w:r>
      <w:r w:rsidR="00B8279C" w:rsidRPr="00AE2795">
        <w:t xml:space="preserve"> год</w:t>
      </w:r>
      <w:r w:rsidRPr="00AE2795">
        <w:t xml:space="preserve">у по </w:t>
      </w:r>
      <w:r w:rsidR="00AE2795" w:rsidRPr="00AE2795">
        <w:t>отношению к</w:t>
      </w:r>
      <w:r w:rsidRPr="00AE2795">
        <w:t xml:space="preserve"> 20</w:t>
      </w:r>
      <w:r w:rsidR="00AE2795" w:rsidRPr="00AE2795">
        <w:t>20</w:t>
      </w:r>
      <w:r w:rsidRPr="00AE2795">
        <w:t xml:space="preserve"> год</w:t>
      </w:r>
      <w:r w:rsidR="00AE2795" w:rsidRPr="00AE2795">
        <w:t>у</w:t>
      </w:r>
      <w:r w:rsidRPr="00AE2795">
        <w:t xml:space="preserve"> на 1 </w:t>
      </w:r>
      <w:r w:rsidR="00AE2795" w:rsidRPr="00AE2795">
        <w:t>316</w:t>
      </w:r>
      <w:r w:rsidRPr="00AE2795">
        <w:t xml:space="preserve"> </w:t>
      </w:r>
      <w:r w:rsidR="00AE2795" w:rsidRPr="00AE2795">
        <w:t>030</w:t>
      </w:r>
      <w:r w:rsidRPr="00AE2795">
        <w:t>,</w:t>
      </w:r>
      <w:r w:rsidR="00AE2795" w:rsidRPr="00AE2795">
        <w:t>5</w:t>
      </w:r>
      <w:r w:rsidRPr="00AE2795">
        <w:t xml:space="preserve"> тыс. рублей, или на </w:t>
      </w:r>
      <w:r w:rsidR="004147CC">
        <w:t>6</w:t>
      </w:r>
      <w:r w:rsidRPr="00AE2795">
        <w:t xml:space="preserve"> %, планируемая сумма расходов составит </w:t>
      </w:r>
      <w:r w:rsidR="00AE2795" w:rsidRPr="00AE2795">
        <w:t>23 277 586,6</w:t>
      </w:r>
      <w:r w:rsidRPr="00AE2795">
        <w:t xml:space="preserve"> тыс. рублей</w:t>
      </w:r>
      <w:r w:rsidR="00B8279C" w:rsidRPr="00AE2795">
        <w:t>;</w:t>
      </w:r>
    </w:p>
    <w:p w:rsidR="00B8279C" w:rsidRPr="00AE2795" w:rsidRDefault="00350B30" w:rsidP="00E345D3">
      <w:pPr>
        <w:spacing w:after="0"/>
        <w:ind w:firstLine="709"/>
        <w:jc w:val="both"/>
      </w:pPr>
      <w:r w:rsidRPr="00AE2795">
        <w:t>в</w:t>
      </w:r>
      <w:r w:rsidR="00E345D3" w:rsidRPr="00AE2795">
        <w:t xml:space="preserve"> </w:t>
      </w:r>
      <w:r w:rsidR="00B8279C" w:rsidRPr="00AE2795">
        <w:t>202</w:t>
      </w:r>
      <w:r w:rsidR="00AE2795" w:rsidRPr="00AE2795">
        <w:t>2</w:t>
      </w:r>
      <w:r w:rsidR="00B8279C" w:rsidRPr="00AE2795">
        <w:t xml:space="preserve"> год</w:t>
      </w:r>
      <w:r w:rsidRPr="00AE2795">
        <w:t>у</w:t>
      </w:r>
      <w:r w:rsidR="00B8279C" w:rsidRPr="00AE2795">
        <w:t xml:space="preserve"> </w:t>
      </w:r>
      <w:r w:rsidR="00AE2795" w:rsidRPr="00AE2795">
        <w:t xml:space="preserve">по отношению к 2021 году </w:t>
      </w:r>
      <w:r w:rsidR="00B8279C" w:rsidRPr="00AE2795">
        <w:t xml:space="preserve">на 1 </w:t>
      </w:r>
      <w:r w:rsidR="00AE2795" w:rsidRPr="00AE2795">
        <w:t>261</w:t>
      </w:r>
      <w:r w:rsidR="00B8279C" w:rsidRPr="00AE2795">
        <w:t xml:space="preserve"> </w:t>
      </w:r>
      <w:r w:rsidR="00AE2795" w:rsidRPr="00AE2795">
        <w:t>833</w:t>
      </w:r>
      <w:r w:rsidR="00B8279C" w:rsidRPr="00AE2795">
        <w:t>,</w:t>
      </w:r>
      <w:r w:rsidR="00AE2795" w:rsidRPr="00AE2795">
        <w:t>5</w:t>
      </w:r>
      <w:r w:rsidR="00B8279C" w:rsidRPr="00AE2795">
        <w:t xml:space="preserve"> тыс. руб</w:t>
      </w:r>
      <w:r w:rsidRPr="00AE2795">
        <w:t>лей, или</w:t>
      </w:r>
      <w:r w:rsidR="00B8279C" w:rsidRPr="00AE2795">
        <w:t xml:space="preserve"> на </w:t>
      </w:r>
      <w:r w:rsidR="00AE2795" w:rsidRPr="00AE2795">
        <w:t>5,4</w:t>
      </w:r>
      <w:r w:rsidR="00B8279C" w:rsidRPr="00AE2795">
        <w:t xml:space="preserve"> %</w:t>
      </w:r>
      <w:r w:rsidRPr="00AE2795">
        <w:t xml:space="preserve">, планируемая сумма расходов составит </w:t>
      </w:r>
      <w:r w:rsidR="00AE2795" w:rsidRPr="00AE2795">
        <w:t>24 539 420,1</w:t>
      </w:r>
      <w:r w:rsidRPr="00AE2795">
        <w:t>,0 тыс. рублей</w:t>
      </w:r>
      <w:r w:rsidR="00AA4869" w:rsidRPr="00AE2795">
        <w:t>.</w:t>
      </w:r>
    </w:p>
    <w:p w:rsidR="0035579A" w:rsidRDefault="00B8279C" w:rsidP="004B2DD6">
      <w:pPr>
        <w:spacing w:after="0"/>
        <w:ind w:firstLine="709"/>
        <w:jc w:val="both"/>
        <w:rPr>
          <w:highlight w:val="yellow"/>
        </w:rPr>
      </w:pPr>
      <w:proofErr w:type="gramStart"/>
      <w:r w:rsidRPr="006906E6">
        <w:t>Расходы на выполнение управленческих функций Фондом (расходы на содержание Фонда с филиалами включают расходы на оплату труда и текущее содержание Фонда) в 20</w:t>
      </w:r>
      <w:r w:rsidR="006906E6" w:rsidRPr="006906E6">
        <w:t>20</w:t>
      </w:r>
      <w:r w:rsidRPr="006906E6">
        <w:t xml:space="preserve"> году и на плановый период 202</w:t>
      </w:r>
      <w:r w:rsidR="0099309E">
        <w:t xml:space="preserve">1 </w:t>
      </w:r>
      <w:r w:rsidRPr="006906E6">
        <w:t>и 202</w:t>
      </w:r>
      <w:r w:rsidR="006906E6" w:rsidRPr="006906E6">
        <w:t>2</w:t>
      </w:r>
      <w:r w:rsidRPr="006906E6">
        <w:t xml:space="preserve"> годов запланированы по подразделу 0113 «Другие общегосударственные вопросы» ежегодно в сумме </w:t>
      </w:r>
      <w:r w:rsidR="006906E6" w:rsidRPr="006906E6">
        <w:t xml:space="preserve">146 860,5 </w:t>
      </w:r>
      <w:r w:rsidRPr="006906E6">
        <w:t xml:space="preserve"> тыс. руб</w:t>
      </w:r>
      <w:r w:rsidR="004B2DD6" w:rsidRPr="006906E6">
        <w:t>лей</w:t>
      </w:r>
      <w:r w:rsidRPr="006906E6">
        <w:t>, что выше законодательно утвержденных бюджетных ассигнований на 201</w:t>
      </w:r>
      <w:r w:rsidR="006906E6" w:rsidRPr="006906E6">
        <w:t>9</w:t>
      </w:r>
      <w:r w:rsidRPr="006906E6">
        <w:t xml:space="preserve"> год (</w:t>
      </w:r>
      <w:r w:rsidR="006906E6" w:rsidRPr="006906E6">
        <w:t>145 268,0</w:t>
      </w:r>
      <w:r w:rsidRPr="006906E6">
        <w:t xml:space="preserve"> тыс. руб.) на</w:t>
      </w:r>
      <w:proofErr w:type="gramEnd"/>
      <w:r w:rsidRPr="006906E6">
        <w:t xml:space="preserve"> </w:t>
      </w:r>
      <w:r w:rsidR="006906E6" w:rsidRPr="006906E6">
        <w:t xml:space="preserve">1 592,5 </w:t>
      </w:r>
      <w:r w:rsidRPr="006906E6">
        <w:t xml:space="preserve"> тыс. руб</w:t>
      </w:r>
      <w:r w:rsidR="004B2DD6" w:rsidRPr="006906E6">
        <w:t>лей,</w:t>
      </w:r>
      <w:r w:rsidRPr="006906E6">
        <w:t xml:space="preserve"> или на </w:t>
      </w:r>
      <w:r w:rsidR="006906E6">
        <w:t>1,1</w:t>
      </w:r>
      <w:r w:rsidRPr="006906E6">
        <w:t xml:space="preserve"> %</w:t>
      </w:r>
      <w:r w:rsidR="00C10550">
        <w:t xml:space="preserve"> и выше оценки ожидаемого исполнения за 2019 год на 0,4 %</w:t>
      </w:r>
      <w:r w:rsidRPr="006906E6">
        <w:t>.</w:t>
      </w:r>
      <w:r w:rsidRPr="00FD20E5">
        <w:rPr>
          <w:highlight w:val="yellow"/>
        </w:rPr>
        <w:t xml:space="preserve"> </w:t>
      </w:r>
    </w:p>
    <w:p w:rsidR="00B8279C" w:rsidRPr="0000060F" w:rsidRDefault="00C10550" w:rsidP="004B2DD6">
      <w:pPr>
        <w:spacing w:after="0"/>
        <w:ind w:firstLine="709"/>
        <w:jc w:val="both"/>
      </w:pPr>
      <w:r>
        <w:t>Доля р</w:t>
      </w:r>
      <w:r w:rsidR="00B8279C" w:rsidRPr="0000060F">
        <w:t>асход</w:t>
      </w:r>
      <w:r w:rsidR="00AA18A0">
        <w:t>ов</w:t>
      </w:r>
      <w:r w:rsidR="00B8279C" w:rsidRPr="0000060F">
        <w:t xml:space="preserve"> на выполнение управленческих функций </w:t>
      </w:r>
      <w:r w:rsidR="0035579A" w:rsidRPr="0000060F">
        <w:t>Фонда</w:t>
      </w:r>
      <w:r w:rsidR="00B8279C" w:rsidRPr="0000060F">
        <w:t xml:space="preserve"> на 20</w:t>
      </w:r>
      <w:r w:rsidR="0000060F" w:rsidRPr="0000060F">
        <w:t>20</w:t>
      </w:r>
      <w:r w:rsidR="00B8279C" w:rsidRPr="0000060F">
        <w:t xml:space="preserve"> год составля</w:t>
      </w:r>
      <w:r>
        <w:t>е</w:t>
      </w:r>
      <w:r w:rsidR="00B8279C" w:rsidRPr="0000060F">
        <w:t xml:space="preserve">т </w:t>
      </w:r>
      <w:r w:rsidR="0000060F" w:rsidRPr="0000060F">
        <w:t>0,7</w:t>
      </w:r>
      <w:r w:rsidR="00B8279C" w:rsidRPr="0000060F">
        <w:t xml:space="preserve"> %</w:t>
      </w:r>
      <w:r w:rsidR="0000060F" w:rsidRPr="0000060F">
        <w:t xml:space="preserve"> от </w:t>
      </w:r>
      <w:r w:rsidR="000D5E43">
        <w:t>запланированных доходов Фонда</w:t>
      </w:r>
      <w:r w:rsidR="00B8279C" w:rsidRPr="0000060F">
        <w:t xml:space="preserve">, </w:t>
      </w:r>
      <w:r w:rsidR="0000060F" w:rsidRPr="0000060F">
        <w:t>в</w:t>
      </w:r>
      <w:r w:rsidR="00B8279C" w:rsidRPr="0000060F">
        <w:t xml:space="preserve"> планов</w:t>
      </w:r>
      <w:r w:rsidR="0000060F" w:rsidRPr="0000060F">
        <w:t>ом</w:t>
      </w:r>
      <w:r w:rsidR="00B8279C" w:rsidRPr="0000060F">
        <w:t xml:space="preserve"> период</w:t>
      </w:r>
      <w:r w:rsidR="0000060F" w:rsidRPr="0000060F">
        <w:t>е</w:t>
      </w:r>
      <w:r w:rsidR="00B8279C" w:rsidRPr="0000060F">
        <w:t xml:space="preserve"> 202</w:t>
      </w:r>
      <w:r w:rsidR="0000060F" w:rsidRPr="0000060F">
        <w:t>1</w:t>
      </w:r>
      <w:r w:rsidR="00B8279C" w:rsidRPr="0000060F">
        <w:t xml:space="preserve"> и 202</w:t>
      </w:r>
      <w:r w:rsidR="0000060F" w:rsidRPr="0000060F">
        <w:t>2</w:t>
      </w:r>
      <w:r w:rsidR="00B8279C" w:rsidRPr="0000060F">
        <w:t xml:space="preserve"> годов </w:t>
      </w:r>
      <w:r w:rsidR="00AA18A0">
        <w:t>–</w:t>
      </w:r>
      <w:r w:rsidR="00B8279C" w:rsidRPr="0000060F">
        <w:t xml:space="preserve"> 0,6 % (в бюджете Фонда на 20</w:t>
      </w:r>
      <w:r w:rsidR="0000060F" w:rsidRPr="0000060F">
        <w:t>19</w:t>
      </w:r>
      <w:r w:rsidR="00B8279C" w:rsidRPr="0000060F">
        <w:t xml:space="preserve"> год - 0,7 %).</w:t>
      </w:r>
    </w:p>
    <w:p w:rsidR="000A31D8" w:rsidRDefault="004650B2" w:rsidP="00942AAF">
      <w:pPr>
        <w:spacing w:after="0"/>
        <w:ind w:firstLine="709"/>
        <w:jc w:val="both"/>
      </w:pPr>
      <w:r w:rsidRPr="00CE7A35">
        <w:t>Объём бюджетных ассигнований на оплату труда (с начислениями) сотрудников ТФОМС на 20</w:t>
      </w:r>
      <w:r w:rsidR="000F7B43" w:rsidRPr="00CE7A35">
        <w:t>20</w:t>
      </w:r>
      <w:r w:rsidRPr="00CE7A35">
        <w:t xml:space="preserve"> год запланирован в сумме </w:t>
      </w:r>
      <w:r w:rsidR="0099309E" w:rsidRPr="00CE7A35">
        <w:t>104 085</w:t>
      </w:r>
      <w:r w:rsidRPr="00CE7A35">
        <w:t>,</w:t>
      </w:r>
      <w:r w:rsidR="00C10550" w:rsidRPr="00CE7A35">
        <w:t>5</w:t>
      </w:r>
      <w:r w:rsidRPr="00CE7A35">
        <w:t xml:space="preserve"> тыс. рублей</w:t>
      </w:r>
      <w:r w:rsidR="00C10550" w:rsidRPr="00CE7A35">
        <w:t>, что на 4,</w:t>
      </w:r>
      <w:r w:rsidR="000E6F52" w:rsidRPr="00CE7A35">
        <w:t>3</w:t>
      </w:r>
      <w:r w:rsidR="00C10550" w:rsidRPr="00CE7A35">
        <w:t xml:space="preserve"> % больше законодательно утверждённых бюджетных ассигнований на 2019 год (</w:t>
      </w:r>
      <w:r w:rsidR="000E6F52" w:rsidRPr="00CE7A35">
        <w:t>99 823,9</w:t>
      </w:r>
      <w:r w:rsidR="00C10550" w:rsidRPr="00CE7A35">
        <w:t xml:space="preserve"> тыс. рублей)</w:t>
      </w:r>
      <w:r w:rsidRPr="00CE7A35">
        <w:t>.</w:t>
      </w:r>
      <w:r w:rsidRPr="000A31D8">
        <w:t xml:space="preserve"> </w:t>
      </w:r>
    </w:p>
    <w:p w:rsidR="00942AAF" w:rsidRPr="000A31D8" w:rsidRDefault="00B8279C" w:rsidP="00942AAF">
      <w:pPr>
        <w:spacing w:after="0"/>
        <w:ind w:firstLine="709"/>
        <w:jc w:val="both"/>
      </w:pPr>
      <w:r w:rsidRPr="000A31D8">
        <w:t xml:space="preserve">Согласно Пояснительной записке </w:t>
      </w:r>
      <w:r w:rsidR="004650B2" w:rsidRPr="000A31D8">
        <w:t xml:space="preserve">к проекту закона </w:t>
      </w:r>
      <w:r w:rsidRPr="000A31D8">
        <w:t>ра</w:t>
      </w:r>
      <w:r w:rsidR="00D31706" w:rsidRPr="000A31D8">
        <w:t>счёт</w:t>
      </w:r>
      <w:r w:rsidRPr="000A31D8">
        <w:t xml:space="preserve"> ФОТ работников Фонда произведен в соответствии с утвержденным штатным расписанием и нормативными документами по оплате труда, регламентирующими деятельность органов государственной власти У</w:t>
      </w:r>
      <w:r w:rsidR="00A42F0E" w:rsidRPr="000A31D8">
        <w:t xml:space="preserve">дмуртской </w:t>
      </w:r>
      <w:r w:rsidRPr="000A31D8">
        <w:t>Р</w:t>
      </w:r>
      <w:r w:rsidR="00A42F0E" w:rsidRPr="000A31D8">
        <w:t>еспублики</w:t>
      </w:r>
      <w:r w:rsidRPr="000A31D8">
        <w:t xml:space="preserve">. </w:t>
      </w:r>
      <w:proofErr w:type="gramStart"/>
      <w:r w:rsidR="00942AAF" w:rsidRPr="000A31D8">
        <w:t>Штатное расписание Фонда на 2019 год утверждено в соответствии с постановлением Правительства Удмуртской Республики от 23.05.2011 №165 «Об утверждении Положения о Территориальном фонде обязательного медицинского страхования Удмуртской Республики» по согласованию с Правлением Территориального фонда в пределах нормативной численности работников Фонда</w:t>
      </w:r>
      <w:r w:rsidR="00151958" w:rsidRPr="000A31D8">
        <w:t>, утвержденной Указом Президента Удмуртской Республики от 26.10.2012 №198</w:t>
      </w:r>
      <w:r w:rsidR="000A31D8" w:rsidRPr="000A31D8">
        <w:t xml:space="preserve"> в количестве 1</w:t>
      </w:r>
      <w:r w:rsidR="0099309E">
        <w:t>9</w:t>
      </w:r>
      <w:r w:rsidR="000A31D8" w:rsidRPr="000A31D8">
        <w:t>9,25 единиц.</w:t>
      </w:r>
      <w:proofErr w:type="gramEnd"/>
    </w:p>
    <w:p w:rsidR="00942AAF" w:rsidRPr="000A31D8" w:rsidRDefault="00942AAF" w:rsidP="00942AAF">
      <w:pPr>
        <w:spacing w:after="0"/>
        <w:ind w:firstLine="709"/>
        <w:jc w:val="both"/>
      </w:pPr>
      <w:r w:rsidRPr="000A31D8">
        <w:t>Расчет фонда</w:t>
      </w:r>
      <w:r w:rsidR="000A31D8" w:rsidRPr="000A31D8">
        <w:t xml:space="preserve"> оплаты труда произведен без учё</w:t>
      </w:r>
      <w:r w:rsidRPr="000A31D8">
        <w:t xml:space="preserve">та индексации в 2020 году. </w:t>
      </w:r>
    </w:p>
    <w:p w:rsidR="00B8279C" w:rsidRPr="000B4EE5" w:rsidRDefault="00416888" w:rsidP="00416888">
      <w:pPr>
        <w:spacing w:after="0"/>
        <w:ind w:firstLine="709"/>
        <w:jc w:val="both"/>
      </w:pPr>
      <w:proofErr w:type="gramStart"/>
      <w:r w:rsidRPr="000B4EE5">
        <w:t>Расходы п</w:t>
      </w:r>
      <w:r w:rsidR="00B8279C" w:rsidRPr="000B4EE5">
        <w:t>о подразделу 0909 «Другие вопросы в области здравоохранения</w:t>
      </w:r>
      <w:r w:rsidRPr="000B4EE5">
        <w:t>» запланированы</w:t>
      </w:r>
      <w:r w:rsidR="00B8279C" w:rsidRPr="000B4EE5">
        <w:t xml:space="preserve"> на 20</w:t>
      </w:r>
      <w:r w:rsidR="000B4EE5">
        <w:t>20</w:t>
      </w:r>
      <w:r w:rsidR="00B8279C" w:rsidRPr="000B4EE5">
        <w:t xml:space="preserve"> год в сумме </w:t>
      </w:r>
      <w:r w:rsidR="000B4EE5">
        <w:t>21 814 695,6</w:t>
      </w:r>
      <w:r w:rsidR="00B8279C" w:rsidRPr="000B4EE5">
        <w:t xml:space="preserve"> тыс. руб</w:t>
      </w:r>
      <w:r w:rsidRPr="000B4EE5">
        <w:t>лей</w:t>
      </w:r>
      <w:r w:rsidR="00B8279C" w:rsidRPr="000B4EE5">
        <w:t xml:space="preserve">, что на 1 </w:t>
      </w:r>
      <w:r w:rsidR="000B4EE5">
        <w:t>402</w:t>
      </w:r>
      <w:r w:rsidR="00B8279C" w:rsidRPr="000B4EE5">
        <w:t xml:space="preserve"> </w:t>
      </w:r>
      <w:r w:rsidR="000B4EE5">
        <w:t>767</w:t>
      </w:r>
      <w:r w:rsidR="00B8279C" w:rsidRPr="000B4EE5">
        <w:t>,</w:t>
      </w:r>
      <w:r w:rsidR="000B4EE5">
        <w:t>2</w:t>
      </w:r>
      <w:r w:rsidR="00B8279C" w:rsidRPr="000B4EE5">
        <w:t xml:space="preserve"> тыс. руб</w:t>
      </w:r>
      <w:r w:rsidRPr="000B4EE5">
        <w:t>лей,</w:t>
      </w:r>
      <w:r w:rsidR="00B8279C" w:rsidRPr="000B4EE5">
        <w:t xml:space="preserve"> или на </w:t>
      </w:r>
      <w:r w:rsidR="000B4EE5">
        <w:t>6,8</w:t>
      </w:r>
      <w:r w:rsidR="00B8279C" w:rsidRPr="000B4EE5">
        <w:t xml:space="preserve"> % </w:t>
      </w:r>
      <w:r w:rsidR="00AA18A0">
        <w:t>больше утверждё</w:t>
      </w:r>
      <w:r w:rsidR="000B4EE5" w:rsidRPr="000B4EE5">
        <w:t xml:space="preserve">нных </w:t>
      </w:r>
      <w:r w:rsidR="000B4EE5" w:rsidRPr="000B4EE5">
        <w:lastRenderedPageBreak/>
        <w:t xml:space="preserve">бюджетных ассигнований на 2019 год </w:t>
      </w:r>
      <w:r w:rsidR="00B8279C" w:rsidRPr="000B4EE5">
        <w:t>(</w:t>
      </w:r>
      <w:r w:rsidR="000B4EE5">
        <w:t>20 411 928,4</w:t>
      </w:r>
      <w:r w:rsidR="00B8279C" w:rsidRPr="000B4EE5">
        <w:t xml:space="preserve"> тыс. руб.)</w:t>
      </w:r>
      <w:r w:rsidR="00611F3D">
        <w:t xml:space="preserve"> и на 6,7 % больше оценки ожидаемого исполнения в 2019 году (20 436 983,1 тыс. рублей)</w:t>
      </w:r>
      <w:r w:rsidR="00B8279C" w:rsidRPr="000B4EE5">
        <w:t>.</w:t>
      </w:r>
      <w:proofErr w:type="gramEnd"/>
      <w:r w:rsidR="00B8279C" w:rsidRPr="000B4EE5">
        <w:t xml:space="preserve"> На плановый период 202</w:t>
      </w:r>
      <w:r w:rsidR="000B4EE5" w:rsidRPr="000B4EE5">
        <w:t>1</w:t>
      </w:r>
      <w:r w:rsidR="00B8279C" w:rsidRPr="000B4EE5">
        <w:t xml:space="preserve"> и 202</w:t>
      </w:r>
      <w:r w:rsidR="000B4EE5" w:rsidRPr="000B4EE5">
        <w:t>2</w:t>
      </w:r>
      <w:r w:rsidR="00B8279C" w:rsidRPr="000B4EE5">
        <w:t xml:space="preserve"> годов по данному подразделу бюджетные ассигнования планируются:</w:t>
      </w:r>
    </w:p>
    <w:p w:rsidR="00B8279C" w:rsidRPr="000B4EE5" w:rsidRDefault="00B8279C" w:rsidP="000B4EE5">
      <w:pPr>
        <w:pStyle w:val="ac"/>
        <w:numPr>
          <w:ilvl w:val="0"/>
          <w:numId w:val="28"/>
        </w:numPr>
        <w:spacing w:after="0"/>
        <w:ind w:left="1134" w:hanging="425"/>
        <w:jc w:val="both"/>
      </w:pPr>
      <w:r w:rsidRPr="000B4EE5">
        <w:t>на 202</w:t>
      </w:r>
      <w:r w:rsidR="000B4EE5" w:rsidRPr="000B4EE5">
        <w:t>1</w:t>
      </w:r>
      <w:r w:rsidRPr="000B4EE5">
        <w:t xml:space="preserve"> год </w:t>
      </w:r>
      <w:r w:rsidR="00416888" w:rsidRPr="000B4EE5">
        <w:t>в сумме</w:t>
      </w:r>
      <w:r w:rsidRPr="000B4EE5">
        <w:t xml:space="preserve"> </w:t>
      </w:r>
      <w:r w:rsidR="000B4EE5" w:rsidRPr="000B4EE5">
        <w:t>23 130 726,1</w:t>
      </w:r>
      <w:r w:rsidRPr="000B4EE5">
        <w:t xml:space="preserve"> тыс. руб. (рост к 20</w:t>
      </w:r>
      <w:r w:rsidR="000B4EE5" w:rsidRPr="000B4EE5">
        <w:t xml:space="preserve">20 г.  – </w:t>
      </w:r>
      <w:r w:rsidRPr="000B4EE5">
        <w:t>6 %);</w:t>
      </w:r>
    </w:p>
    <w:p w:rsidR="00B8279C" w:rsidRPr="000B4EE5" w:rsidRDefault="00B8279C" w:rsidP="000B4EE5">
      <w:pPr>
        <w:pStyle w:val="ac"/>
        <w:numPr>
          <w:ilvl w:val="0"/>
          <w:numId w:val="28"/>
        </w:numPr>
        <w:spacing w:after="0"/>
        <w:ind w:left="1134" w:hanging="425"/>
        <w:jc w:val="both"/>
      </w:pPr>
      <w:r w:rsidRPr="000B4EE5">
        <w:t>на 202</w:t>
      </w:r>
      <w:r w:rsidR="000B4EE5" w:rsidRPr="000B4EE5">
        <w:t>2</w:t>
      </w:r>
      <w:r w:rsidRPr="000B4EE5">
        <w:t xml:space="preserve"> год </w:t>
      </w:r>
      <w:r w:rsidR="00416888" w:rsidRPr="000B4EE5">
        <w:t>в сумме</w:t>
      </w:r>
      <w:r w:rsidRPr="000B4EE5">
        <w:t xml:space="preserve"> </w:t>
      </w:r>
      <w:r w:rsidR="000B4EE5" w:rsidRPr="000B4EE5">
        <w:t>24 392 559,6</w:t>
      </w:r>
      <w:r w:rsidRPr="000B4EE5">
        <w:t xml:space="preserve"> тыс. руб. (рост к 202</w:t>
      </w:r>
      <w:r w:rsidR="000B4EE5" w:rsidRPr="000B4EE5">
        <w:t>1</w:t>
      </w:r>
      <w:r w:rsidRPr="000B4EE5">
        <w:t xml:space="preserve"> г. </w:t>
      </w:r>
      <w:r w:rsidR="000B4EE5" w:rsidRPr="000B4EE5">
        <w:t>–</w:t>
      </w:r>
      <w:r w:rsidRPr="000B4EE5">
        <w:t xml:space="preserve"> </w:t>
      </w:r>
      <w:r w:rsidR="000B4EE5">
        <w:t>5,5</w:t>
      </w:r>
      <w:r w:rsidRPr="000B4EE5">
        <w:t xml:space="preserve"> %).</w:t>
      </w:r>
    </w:p>
    <w:p w:rsidR="00B8279C" w:rsidRPr="000B4EE5" w:rsidRDefault="00B8279C" w:rsidP="000B4EE5">
      <w:pPr>
        <w:spacing w:after="0"/>
        <w:ind w:firstLine="709"/>
        <w:jc w:val="both"/>
      </w:pPr>
      <w:r w:rsidRPr="000B4EE5">
        <w:t>Удельный вес</w:t>
      </w:r>
      <w:r w:rsidR="000B4EE5" w:rsidRPr="000B4EE5">
        <w:t xml:space="preserve"> указанных расходов в общем объё</w:t>
      </w:r>
      <w:r w:rsidRPr="000B4EE5">
        <w:t xml:space="preserve">ме расходов Фонда </w:t>
      </w:r>
      <w:r w:rsidR="000B4EE5" w:rsidRPr="000B4EE5">
        <w:t xml:space="preserve">              в 2020 году составит 99,3%, в 2021–</w:t>
      </w:r>
      <w:r w:rsidRPr="000B4EE5">
        <w:t xml:space="preserve"> 202</w:t>
      </w:r>
      <w:r w:rsidR="000B4EE5" w:rsidRPr="000B4EE5">
        <w:t>2</w:t>
      </w:r>
      <w:r w:rsidRPr="000B4EE5">
        <w:t xml:space="preserve"> год</w:t>
      </w:r>
      <w:r w:rsidR="000B4EE5" w:rsidRPr="000B4EE5">
        <w:t>ах</w:t>
      </w:r>
      <w:r w:rsidRPr="000B4EE5">
        <w:t xml:space="preserve"> по</w:t>
      </w:r>
      <w:r w:rsidR="000B4EE5" w:rsidRPr="000B4EE5">
        <w:t xml:space="preserve"> 99,4</w:t>
      </w:r>
      <w:r w:rsidRPr="000B4EE5">
        <w:t xml:space="preserve"> %.</w:t>
      </w:r>
    </w:p>
    <w:p w:rsidR="00967D78" w:rsidRDefault="00793375" w:rsidP="002D6805">
      <w:pPr>
        <w:spacing w:after="0"/>
        <w:ind w:firstLine="709"/>
        <w:jc w:val="both"/>
      </w:pPr>
      <w:r>
        <w:t>Объём бюджетных ассигнований н</w:t>
      </w:r>
      <w:r w:rsidR="003370AC" w:rsidRPr="00E1421F">
        <w:t>а финансирование страховых медицинских организаций (</w:t>
      </w:r>
      <w:r w:rsidR="00E1421F" w:rsidRPr="00E1421F">
        <w:t>далее –</w:t>
      </w:r>
      <w:r w:rsidR="001F682E">
        <w:t xml:space="preserve"> </w:t>
      </w:r>
      <w:r w:rsidR="003370AC" w:rsidRPr="00E1421F">
        <w:t xml:space="preserve">СМО) в соответствии с заключенными договорами о финансовом обеспечении обязательного медицинского страхования </w:t>
      </w:r>
      <w:r w:rsidR="008916F0" w:rsidRPr="008916F0">
        <w:t>(</w:t>
      </w:r>
      <w:r w:rsidR="008916F0" w:rsidRPr="008916F0">
        <w:rPr>
          <w:bCs/>
        </w:rPr>
        <w:t>за счёт трансфертов из бюджета Федерального фонда обязательного медицинского страхования)</w:t>
      </w:r>
      <w:r w:rsidR="008916F0" w:rsidRPr="008916F0">
        <w:t xml:space="preserve"> </w:t>
      </w:r>
      <w:r>
        <w:t>приведён в таблице</w:t>
      </w:r>
      <w:r w:rsidR="0050786F">
        <w:t xml:space="preserve"> 2</w:t>
      </w:r>
      <w:r>
        <w:t>.</w:t>
      </w:r>
    </w:p>
    <w:p w:rsidR="00967D78" w:rsidRDefault="0050786F" w:rsidP="0050786F">
      <w:pPr>
        <w:spacing w:after="0"/>
        <w:ind w:firstLine="709"/>
        <w:jc w:val="right"/>
      </w:pPr>
      <w:r w:rsidRPr="0050786F">
        <w:t xml:space="preserve">Таблица </w:t>
      </w:r>
      <w:r>
        <w:t>2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89"/>
        <w:gridCol w:w="1422"/>
        <w:gridCol w:w="1417"/>
        <w:gridCol w:w="993"/>
        <w:gridCol w:w="1417"/>
        <w:gridCol w:w="1418"/>
      </w:tblGrid>
      <w:tr w:rsidR="00D833D7" w:rsidRPr="00197410" w:rsidTr="00D833D7">
        <w:trPr>
          <w:cantSplit/>
          <w:trHeight w:val="760"/>
          <w:tblHeader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7" w:rsidRPr="00197410" w:rsidRDefault="00D833D7" w:rsidP="00D833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74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расходов</w:t>
            </w:r>
          </w:p>
          <w:p w:rsidR="00D833D7" w:rsidRPr="00197410" w:rsidRDefault="00D833D7" w:rsidP="00D833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74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D833D7" w:rsidRPr="00197410" w:rsidRDefault="00D833D7" w:rsidP="00D833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74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D833D7" w:rsidRPr="00FD20E5" w:rsidRDefault="00D833D7" w:rsidP="00D833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19741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D7" w:rsidRPr="00FD20E5" w:rsidRDefault="00D833D7" w:rsidP="00D833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1974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Утверждено Законом о бюджете                 ТФОМС УР                на 2019 год </w:t>
            </w:r>
            <w:r w:rsidRPr="00FD20E5"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ru-RU"/>
              </w:rPr>
              <w:t xml:space="preserve">              </w:t>
            </w:r>
            <w:r w:rsidRPr="001974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от 25.12.2018                № 95-РЗ                             (в ред. Закона УР                                от 08.07.2019                   </w:t>
            </w:r>
            <w:r w:rsidRPr="0089663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№ 31-РЗ) 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D7" w:rsidRDefault="00D833D7" w:rsidP="00D833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74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Проект бюджета ТФОМС УР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</w:p>
          <w:p w:rsidR="00D833D7" w:rsidRPr="00197410" w:rsidRDefault="00D833D7" w:rsidP="00D833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</w:tr>
      <w:tr w:rsidR="00D833D7" w:rsidRPr="00197410" w:rsidTr="00967D78">
        <w:trPr>
          <w:cantSplit/>
          <w:trHeight w:val="920"/>
          <w:tblHeader/>
        </w:trPr>
        <w:tc>
          <w:tcPr>
            <w:tcW w:w="26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7" w:rsidRPr="00FD20E5" w:rsidRDefault="00D833D7" w:rsidP="00D833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D7" w:rsidRPr="00FD20E5" w:rsidRDefault="00D833D7" w:rsidP="00D833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D7" w:rsidRPr="00197410" w:rsidRDefault="00D833D7" w:rsidP="00D833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74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D833D7" w:rsidRPr="00197410" w:rsidRDefault="00D833D7" w:rsidP="00D833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74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  <w:p w:rsidR="00D833D7" w:rsidRPr="00197410" w:rsidRDefault="00D833D7" w:rsidP="00D833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741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D7" w:rsidRPr="00197410" w:rsidRDefault="00D833D7" w:rsidP="00D833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74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Темп роста к 2019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D7" w:rsidRPr="00197410" w:rsidRDefault="00D833D7" w:rsidP="00D833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74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D833D7" w:rsidRPr="00197410" w:rsidRDefault="00D833D7" w:rsidP="00D833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74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  <w:p w:rsidR="00D833D7" w:rsidRPr="00197410" w:rsidRDefault="00D833D7" w:rsidP="00D833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741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D7" w:rsidRPr="00197410" w:rsidRDefault="00D833D7" w:rsidP="00D833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74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D833D7" w:rsidRPr="00197410" w:rsidRDefault="00D833D7" w:rsidP="00D833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74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  <w:p w:rsidR="00D833D7" w:rsidRPr="00197410" w:rsidRDefault="00D833D7" w:rsidP="00D833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9741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833D7" w:rsidRPr="008D1E8D" w:rsidTr="00967D78">
        <w:trPr>
          <w:trHeight w:val="3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CD" w:rsidRDefault="00967D78" w:rsidP="009E76C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682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Финансовое обеспечение организации обязательного медицинского страхования на территориях субъектов РФ, осуществляемое за счет трансфертов из бюджета Федерального фонда обязательного медицинского страхования</w:t>
            </w:r>
            <w:r w:rsidR="009E76C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  <w:p w:rsidR="00D833D7" w:rsidRPr="009E76CD" w:rsidRDefault="009E76CD" w:rsidP="009E76CD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E76CD">
              <w:rPr>
                <w:rFonts w:eastAsia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7" w:rsidRPr="005027AB" w:rsidRDefault="000A62B2" w:rsidP="00D833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20 217 878,4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7" w:rsidRPr="00D833D7" w:rsidRDefault="001F682E" w:rsidP="001F682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21 754 695,6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3D7" w:rsidRPr="00FE6D2D" w:rsidRDefault="00FE6D2D" w:rsidP="00D833D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E6D2D">
              <w:rPr>
                <w:rFonts w:eastAsia="Times New Roman"/>
                <w:sz w:val="22"/>
                <w:szCs w:val="22"/>
                <w:lang w:eastAsia="ru-RU"/>
              </w:rPr>
              <w:t>107,6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7" w:rsidRPr="008D1E8D" w:rsidRDefault="00967D78" w:rsidP="00D833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23 070 726,1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7" w:rsidRPr="008D1E8D" w:rsidRDefault="00967D78" w:rsidP="00D833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24 332 559,6</w:t>
            </w:r>
          </w:p>
        </w:tc>
      </w:tr>
      <w:tr w:rsidR="00967D78" w:rsidRPr="008D1E8D" w:rsidTr="00967D78">
        <w:trPr>
          <w:trHeight w:val="3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D78" w:rsidRPr="001F682E" w:rsidRDefault="005D2F18" w:rsidP="00967D78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682E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="00967D78" w:rsidRPr="001F682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 финансирование СМО в соответствии с заключенными договорами о финансовом обеспечении обязательного медицинского страхования </w:t>
            </w:r>
          </w:p>
          <w:p w:rsidR="00967D78" w:rsidRPr="001F682E" w:rsidRDefault="009E76CD" w:rsidP="00967D78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из них</w:t>
            </w:r>
            <w:r w:rsidR="00967D78" w:rsidRPr="001F682E">
              <w:rPr>
                <w:rFonts w:eastAsia="Times New Roman"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D78" w:rsidRPr="00FE6D2D" w:rsidRDefault="00967D78" w:rsidP="00967D7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D78" w:rsidRPr="005D2F18" w:rsidRDefault="001F682E" w:rsidP="00967D7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20 485 079,5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D78" w:rsidRPr="00FE6D2D" w:rsidRDefault="00FE6D2D" w:rsidP="00967D7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E6D2D">
              <w:rPr>
                <w:rFonts w:eastAsia="Times New Roman"/>
                <w:sz w:val="22"/>
                <w:szCs w:val="22"/>
                <w:lang w:eastAsia="ru-RU"/>
              </w:rPr>
              <w:t>106,8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D78" w:rsidRPr="005D2F18" w:rsidRDefault="004A2FE5" w:rsidP="00967D7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5D2F18">
              <w:rPr>
                <w:rFonts w:eastAsia="Times New Roman"/>
                <w:bCs/>
                <w:sz w:val="22"/>
                <w:szCs w:val="22"/>
                <w:lang w:eastAsia="ru-RU"/>
              </w:rPr>
              <w:t>21 724 362,7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D78" w:rsidRPr="005D2F18" w:rsidRDefault="005D2F18" w:rsidP="00967D7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5D2F18">
              <w:rPr>
                <w:rFonts w:eastAsia="Times New Roman"/>
                <w:bCs/>
                <w:sz w:val="22"/>
                <w:szCs w:val="22"/>
                <w:lang w:eastAsia="ru-RU"/>
              </w:rPr>
              <w:t>22 925 885,7</w:t>
            </w:r>
          </w:p>
        </w:tc>
      </w:tr>
      <w:tr w:rsidR="009E76CD" w:rsidRPr="008D1E8D" w:rsidTr="00967D78">
        <w:trPr>
          <w:trHeight w:val="3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CD" w:rsidRPr="009E76CD" w:rsidRDefault="009E76CD" w:rsidP="009E76CD">
            <w:pPr>
              <w:spacing w:after="0" w:line="240" w:lineRule="auto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9E76CD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на ведение дела СМО</w:t>
            </w:r>
            <w:r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 xml:space="preserve"> (1 % от суммы средств, </w:t>
            </w:r>
            <w:proofErr w:type="spellStart"/>
            <w:r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нааправляемых</w:t>
            </w:r>
            <w:proofErr w:type="spellEnd"/>
            <w:r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 xml:space="preserve"> Фондом в СМО</w:t>
            </w:r>
            <w:r w:rsidRPr="009E76CD">
              <w:rPr>
                <w:rFonts w:eastAsia="Times New Roman"/>
                <w:lang w:eastAsia="ru-RU"/>
              </w:rPr>
              <w:t xml:space="preserve"> </w:t>
            </w:r>
            <w:r w:rsidRPr="009E76CD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по дифференцирован</w:t>
            </w:r>
            <w:r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-</w:t>
            </w:r>
            <w:proofErr w:type="spellStart"/>
            <w:r w:rsidRPr="009E76CD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ным</w:t>
            </w:r>
            <w:proofErr w:type="spellEnd"/>
            <w:r w:rsidRPr="009E76CD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76CD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подушевым</w:t>
            </w:r>
            <w:proofErr w:type="spellEnd"/>
            <w:r w:rsidRPr="009E76CD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 xml:space="preserve"> нормативам в соответствии с договором о финансовом обеспечении </w:t>
            </w:r>
            <w:r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ОМС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CD" w:rsidRPr="00094F35" w:rsidRDefault="009E76CD" w:rsidP="00FE6D2D">
            <w:pPr>
              <w:spacing w:after="0" w:line="240" w:lineRule="auto"/>
              <w:jc w:val="center"/>
              <w:rPr>
                <w:rFonts w:eastAsia="Times New Roman"/>
                <w:bCs/>
                <w:i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CD" w:rsidRPr="009E76CD" w:rsidRDefault="009E76CD" w:rsidP="00967D78">
            <w:pPr>
              <w:spacing w:after="0" w:line="240" w:lineRule="auto"/>
              <w:jc w:val="center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202 825,8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CD" w:rsidRPr="009E76CD" w:rsidRDefault="009E76CD" w:rsidP="00967D78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CD" w:rsidRPr="009E76CD" w:rsidRDefault="009E76CD" w:rsidP="00967D78">
            <w:pPr>
              <w:spacing w:after="0" w:line="240" w:lineRule="auto"/>
              <w:jc w:val="center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215 094,8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6CD" w:rsidRPr="009E76CD" w:rsidRDefault="009E76CD" w:rsidP="00967D78">
            <w:pPr>
              <w:spacing w:after="0" w:line="240" w:lineRule="auto"/>
              <w:jc w:val="center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226 991,4</w:t>
            </w:r>
          </w:p>
        </w:tc>
      </w:tr>
      <w:tr w:rsidR="00D833D7" w:rsidRPr="005027AB" w:rsidTr="00967D78">
        <w:trPr>
          <w:trHeight w:val="3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7" w:rsidRPr="001F682E" w:rsidRDefault="00D833D7" w:rsidP="00D833D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682E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на оплату оказанной медицинской помощи  иногородним застрахованным по ОМС гражданам</w:t>
            </w:r>
          </w:p>
          <w:p w:rsidR="00D833D7" w:rsidRPr="001F682E" w:rsidRDefault="00D833D7" w:rsidP="00D833D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682E">
              <w:rPr>
                <w:rFonts w:eastAsia="Times New Roman"/>
                <w:bCs/>
                <w:sz w:val="20"/>
                <w:szCs w:val="20"/>
                <w:lang w:eastAsia="ru-RU"/>
              </w:rPr>
              <w:t>(в соответствии с планируемыми доходами)</w:t>
            </w:r>
            <w:r w:rsidR="00942D0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 учётом остатка средств на 01.01.2019г.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7" w:rsidRPr="005027AB" w:rsidRDefault="00942D0B" w:rsidP="00D833D7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357 935,5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7" w:rsidRDefault="00D833D7" w:rsidP="00D833D7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  <w:p w:rsidR="00D833D7" w:rsidRPr="005027AB" w:rsidRDefault="00D833D7" w:rsidP="004A2FE5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D833D7">
              <w:rPr>
                <w:rFonts w:eastAsia="Times New Roman"/>
                <w:bCs/>
                <w:sz w:val="22"/>
                <w:szCs w:val="22"/>
                <w:lang w:eastAsia="ru-RU"/>
              </w:rPr>
              <w:t>4</w:t>
            </w:r>
            <w:r w:rsidR="004A2FE5">
              <w:rPr>
                <w:rFonts w:eastAsia="Times New Roman"/>
                <w:bCs/>
                <w:sz w:val="22"/>
                <w:szCs w:val="22"/>
                <w:lang w:eastAsia="ru-RU"/>
              </w:rPr>
              <w:t>35</w:t>
            </w:r>
            <w:r w:rsidRPr="00D833D7">
              <w:rPr>
                <w:rFonts w:eastAsia="Times New Roman"/>
                <w:bCs/>
                <w:sz w:val="22"/>
                <w:szCs w:val="22"/>
                <w:lang w:eastAsia="ru-RU"/>
              </w:rPr>
              <w:t> </w:t>
            </w:r>
            <w:r w:rsidR="004A2FE5">
              <w:rPr>
                <w:rFonts w:eastAsia="Times New Roman"/>
                <w:bCs/>
                <w:sz w:val="22"/>
                <w:szCs w:val="22"/>
                <w:lang w:eastAsia="ru-RU"/>
              </w:rPr>
              <w:t>0</w:t>
            </w:r>
            <w:r w:rsidRPr="00D833D7">
              <w:rPr>
                <w:rFonts w:eastAsia="Times New Roman"/>
                <w:bCs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3D7" w:rsidRPr="005027AB" w:rsidRDefault="00FE6D2D" w:rsidP="00942D0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</w:t>
            </w:r>
            <w:r w:rsidR="00942D0B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="00942D0B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7" w:rsidRPr="005027AB" w:rsidRDefault="004A2FE5" w:rsidP="00D833D7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A2FE5">
              <w:rPr>
                <w:rFonts w:eastAsia="Times New Roman"/>
                <w:bCs/>
                <w:sz w:val="22"/>
                <w:szCs w:val="22"/>
                <w:lang w:eastAsia="ru-RU"/>
              </w:rPr>
              <w:t>462 400,0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7" w:rsidRPr="005027AB" w:rsidRDefault="004A2FE5" w:rsidP="00D833D7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488 000,0</w:t>
            </w:r>
          </w:p>
        </w:tc>
      </w:tr>
      <w:tr w:rsidR="00D833D7" w:rsidRPr="00FD20E5" w:rsidTr="00967D78">
        <w:trPr>
          <w:trHeight w:val="3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7" w:rsidRPr="001F682E" w:rsidRDefault="00D833D7" w:rsidP="00D833D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682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на оплату медицинской помощи гражданам Российской Федерации, застрахованным по ОМС на территории Удмуртской Республики и пролеченным в медицинских организациях других территорий Российской Федерации (запланированы исходя из уровня расходов 2019 года </w:t>
            </w:r>
            <w:r w:rsidRPr="008D53D6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 xml:space="preserve">с учётом роста </w:t>
            </w:r>
            <w:proofErr w:type="spellStart"/>
            <w:r w:rsidRPr="008D53D6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подушевого</w:t>
            </w:r>
            <w:proofErr w:type="spellEnd"/>
            <w:r w:rsidRPr="008D53D6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 xml:space="preserve"> норматива</w:t>
            </w:r>
            <w:r w:rsidR="008D53D6" w:rsidRPr="008D53D6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 xml:space="preserve"> с 11 800,2 руб. (2019 год</w:t>
            </w:r>
            <w:r w:rsidRPr="008D53D6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)</w:t>
            </w:r>
            <w:r w:rsidR="008D53D6" w:rsidRPr="008D53D6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 xml:space="preserve"> до 12 699,2 руб.)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7" w:rsidRPr="005027AB" w:rsidRDefault="000A62B2" w:rsidP="00D833D7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689 547,7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D7" w:rsidRPr="005027AB" w:rsidRDefault="004A2FE5" w:rsidP="00D833D7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834</w:t>
            </w:r>
            <w:r w:rsidR="000B5341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616,1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3D7" w:rsidRPr="005027AB" w:rsidRDefault="00FE6D2D" w:rsidP="00D833D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3D7" w:rsidRPr="005027AB" w:rsidRDefault="004A2FE5" w:rsidP="00D833D7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883 963,4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3D7" w:rsidRPr="00FD20E5" w:rsidRDefault="004A2FE5" w:rsidP="004A2FE5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918 673,9</w:t>
            </w:r>
          </w:p>
        </w:tc>
      </w:tr>
    </w:tbl>
    <w:p w:rsidR="00D833D7" w:rsidRDefault="00D833D7" w:rsidP="002D6805">
      <w:pPr>
        <w:spacing w:after="0"/>
        <w:ind w:firstLine="709"/>
        <w:jc w:val="both"/>
      </w:pPr>
    </w:p>
    <w:p w:rsidR="00B8279C" w:rsidRPr="007639D7" w:rsidRDefault="00B8279C" w:rsidP="002D6805">
      <w:pPr>
        <w:spacing w:after="0"/>
        <w:ind w:firstLine="709"/>
        <w:jc w:val="both"/>
      </w:pPr>
      <w:r w:rsidRPr="007639D7">
        <w:t>Величина нормированного страхового запаса (далее - НСЗ) определена ст</w:t>
      </w:r>
      <w:r w:rsidR="002D6805" w:rsidRPr="007639D7">
        <w:t xml:space="preserve">атьёй </w:t>
      </w:r>
      <w:r w:rsidRPr="007639D7">
        <w:t xml:space="preserve">6 </w:t>
      </w:r>
      <w:r w:rsidR="007639D7" w:rsidRPr="007639D7">
        <w:t>З</w:t>
      </w:r>
      <w:r w:rsidRPr="007639D7">
        <w:t xml:space="preserve">аконопроекта </w:t>
      </w:r>
      <w:r w:rsidR="007639D7" w:rsidRPr="007639D7">
        <w:t xml:space="preserve">на 2020 год </w:t>
      </w:r>
      <w:r w:rsidRPr="007639D7">
        <w:t xml:space="preserve">в </w:t>
      </w:r>
      <w:r w:rsidR="007639D7" w:rsidRPr="007639D7">
        <w:t>размере</w:t>
      </w:r>
      <w:r w:rsidRPr="007639D7">
        <w:t xml:space="preserve"> 1 </w:t>
      </w:r>
      <w:r w:rsidR="007639D7" w:rsidRPr="007639D7">
        <w:t>788</w:t>
      </w:r>
      <w:r w:rsidRPr="007639D7">
        <w:t xml:space="preserve"> </w:t>
      </w:r>
      <w:r w:rsidR="007639D7" w:rsidRPr="007639D7">
        <w:t>879</w:t>
      </w:r>
      <w:r w:rsidRPr="007639D7">
        <w:t>,</w:t>
      </w:r>
      <w:r w:rsidR="007639D7" w:rsidRPr="007639D7">
        <w:t>7</w:t>
      </w:r>
      <w:r w:rsidR="008D53D6">
        <w:t xml:space="preserve"> тыс. рублей (рост к 2019 году на 7 %)</w:t>
      </w:r>
      <w:r w:rsidR="007639D7" w:rsidRPr="007639D7">
        <w:t>, на 2021 год в размере 1 896 265,5 тыс. руб</w:t>
      </w:r>
      <w:r w:rsidR="008D53D6">
        <w:t>лей</w:t>
      </w:r>
      <w:r w:rsidR="007639D7" w:rsidRPr="007639D7">
        <w:t xml:space="preserve">, </w:t>
      </w:r>
      <w:r w:rsidRPr="007639D7">
        <w:t xml:space="preserve"> </w:t>
      </w:r>
      <w:r w:rsidR="007639D7" w:rsidRPr="007639D7">
        <w:t>на 2022 год в размере 1 999 285,0 тыс. руб</w:t>
      </w:r>
      <w:r w:rsidR="008D53D6">
        <w:t>лей</w:t>
      </w:r>
      <w:r w:rsidR="007639D7" w:rsidRPr="007639D7">
        <w:t xml:space="preserve">. </w:t>
      </w:r>
      <w:r w:rsidRPr="007639D7">
        <w:t>Указанный объ</w:t>
      </w:r>
      <w:r w:rsidR="002D6805" w:rsidRPr="007639D7">
        <w:t>ё</w:t>
      </w:r>
      <w:r w:rsidRPr="007639D7">
        <w:t>м определен в соответствии с п</w:t>
      </w:r>
      <w:r w:rsidR="002D6805" w:rsidRPr="007639D7">
        <w:t xml:space="preserve">унктом </w:t>
      </w:r>
      <w:r w:rsidRPr="007639D7">
        <w:t>6 ст</w:t>
      </w:r>
      <w:r w:rsidR="002D6805" w:rsidRPr="007639D7">
        <w:t xml:space="preserve">атьи </w:t>
      </w:r>
      <w:r w:rsidRPr="007639D7">
        <w:t>26 Федерального закона № 326-Ф</w:t>
      </w:r>
      <w:r w:rsidR="007639D7" w:rsidRPr="007639D7">
        <w:t>З</w:t>
      </w:r>
      <w:r w:rsidRPr="007639D7">
        <w:t xml:space="preserve"> и не превышает среднемесячный размер планируемых поступлений средств Фонда на очередной финансовый год. Порядок формирования и цели использования НСЗ установлены также в ст</w:t>
      </w:r>
      <w:r w:rsidR="002D6805" w:rsidRPr="007639D7">
        <w:t xml:space="preserve">атье </w:t>
      </w:r>
      <w:r w:rsidRPr="007639D7">
        <w:t xml:space="preserve">6 </w:t>
      </w:r>
      <w:r w:rsidR="00FF41E1">
        <w:t>З</w:t>
      </w:r>
      <w:r w:rsidRPr="007639D7">
        <w:t>аконопроекта.</w:t>
      </w:r>
    </w:p>
    <w:p w:rsidR="00B8279C" w:rsidRPr="008D53D6" w:rsidRDefault="00B8279C" w:rsidP="00B76CFD">
      <w:pPr>
        <w:spacing w:after="0"/>
        <w:ind w:firstLine="709"/>
        <w:jc w:val="both"/>
      </w:pPr>
      <w:r w:rsidRPr="00E13F0E">
        <w:t>Согласно оценке ожидаемого исполнения бюджета Фонда за 20</w:t>
      </w:r>
      <w:r w:rsidR="007639D7" w:rsidRPr="00E13F0E">
        <w:t>19</w:t>
      </w:r>
      <w:r w:rsidRPr="00E13F0E">
        <w:t xml:space="preserve"> год остаток средств на 01 января 20</w:t>
      </w:r>
      <w:r w:rsidR="007639D7" w:rsidRPr="00E13F0E">
        <w:t>20</w:t>
      </w:r>
      <w:r w:rsidRPr="00E13F0E">
        <w:t xml:space="preserve"> года прогнозируется в сумме </w:t>
      </w:r>
      <w:r w:rsidR="008D53D6" w:rsidRPr="00E13F0E">
        <w:t>117 754,9</w:t>
      </w:r>
      <w:r w:rsidRPr="00E13F0E">
        <w:t xml:space="preserve"> тыс. руб</w:t>
      </w:r>
      <w:r w:rsidR="00B76CFD" w:rsidRPr="00E13F0E">
        <w:t>лей</w:t>
      </w:r>
      <w:r w:rsidRPr="00E13F0E">
        <w:t>, однако это не нашло отражение в расходной части бюджета Фонда на 20</w:t>
      </w:r>
      <w:r w:rsidR="007639D7" w:rsidRPr="00E13F0E">
        <w:t>20</w:t>
      </w:r>
      <w:r w:rsidRPr="00E13F0E">
        <w:t xml:space="preserve"> год, и соответственно в источниках финансирования дефицита бюджета. </w:t>
      </w:r>
      <w:r w:rsidR="008D53D6" w:rsidRPr="00E13F0E">
        <w:t xml:space="preserve">Остаток средств </w:t>
      </w:r>
      <w:proofErr w:type="gramStart"/>
      <w:r w:rsidR="008D53D6" w:rsidRPr="00E13F0E">
        <w:t>на конец</w:t>
      </w:r>
      <w:proofErr w:type="gramEnd"/>
      <w:r w:rsidR="008D53D6" w:rsidRPr="00E13F0E">
        <w:t xml:space="preserve"> 2020 года и на плановый период 2021 и 2022 годов также Законопроектом не планируется.</w:t>
      </w:r>
      <w:r w:rsidR="008D53D6" w:rsidRPr="008D53D6">
        <w:t xml:space="preserve"> </w:t>
      </w:r>
    </w:p>
    <w:p w:rsidR="00B8279C" w:rsidRPr="002D23A5" w:rsidRDefault="00B8279C" w:rsidP="00501140">
      <w:pPr>
        <w:spacing w:after="0"/>
        <w:ind w:firstLine="709"/>
        <w:jc w:val="both"/>
      </w:pPr>
      <w:r w:rsidRPr="002D23A5">
        <w:t>Проект бюджета Фонда на 20</w:t>
      </w:r>
      <w:r w:rsidR="002D23A5">
        <w:t>20</w:t>
      </w:r>
      <w:r w:rsidRPr="002D23A5">
        <w:t>-202</w:t>
      </w:r>
      <w:r w:rsidR="002D23A5">
        <w:t>2</w:t>
      </w:r>
      <w:r w:rsidR="007639D7">
        <w:t xml:space="preserve"> годы сбалансирован </w:t>
      </w:r>
      <w:r w:rsidR="009D144E" w:rsidRPr="009D144E">
        <w:t>–</w:t>
      </w:r>
      <w:r w:rsidR="007639D7">
        <w:t xml:space="preserve"> объё</w:t>
      </w:r>
      <w:r w:rsidRPr="002D23A5">
        <w:t>мы доходов и поступлений из источников финансирования</w:t>
      </w:r>
      <w:r w:rsidR="00B76CFD" w:rsidRPr="002D23A5">
        <w:t xml:space="preserve"> его дефицита соответствуют объё</w:t>
      </w:r>
      <w:r w:rsidRPr="002D23A5">
        <w:t>му планируемых расходов.</w:t>
      </w:r>
    </w:p>
    <w:p w:rsidR="00D134D4" w:rsidRPr="002D23A5" w:rsidRDefault="00D134D4" w:rsidP="00D134D4">
      <w:pPr>
        <w:spacing w:after="0"/>
        <w:ind w:firstLine="709"/>
        <w:jc w:val="both"/>
      </w:pPr>
      <w:r w:rsidRPr="002D23A5">
        <w:lastRenderedPageBreak/>
        <w:t>Законопроект в целом соответствует требованиям бюджетного законодательства.</w:t>
      </w:r>
    </w:p>
    <w:p w:rsidR="00D134D4" w:rsidRPr="00562DD6" w:rsidRDefault="00D134D4" w:rsidP="00D134D4">
      <w:pPr>
        <w:spacing w:after="0"/>
        <w:ind w:firstLine="709"/>
        <w:jc w:val="both"/>
      </w:pPr>
      <w:r w:rsidRPr="00562DD6">
        <w:t>На проект закона получены положительные заключения Управления</w:t>
      </w:r>
      <w:r w:rsidRPr="007639D7">
        <w:t xml:space="preserve"> министерства юстиции Российской Федерации по Удмуртской Республике, </w:t>
      </w:r>
      <w:r w:rsidRPr="00562DD6">
        <w:t>Прокуратуры Удмуртской Республики, Правового управления Аппарата Государственного Совета Удмуртской Республики, Государственного контрольного комитета Удмуртской Республики, постоянной комиссии Государственного Совета Удмуртской Республики по здравоохранению, демографической и семейной политике.</w:t>
      </w:r>
    </w:p>
    <w:p w:rsidR="00F571CE" w:rsidRPr="00552C74" w:rsidRDefault="00D9370F" w:rsidP="00F571CE">
      <w:pPr>
        <w:tabs>
          <w:tab w:val="left" w:pos="720"/>
        </w:tabs>
        <w:spacing w:after="0"/>
        <w:ind w:firstLine="539"/>
        <w:jc w:val="both"/>
        <w:rPr>
          <w:rFonts w:eastAsia="Times New Roman"/>
          <w:lang w:eastAsia="ru-RU"/>
        </w:rPr>
      </w:pPr>
      <w:proofErr w:type="gramStart"/>
      <w:r w:rsidRPr="00552C74">
        <w:rPr>
          <w:rFonts w:eastAsia="Times New Roman"/>
          <w:lang w:eastAsia="ru-RU"/>
        </w:rPr>
        <w:t>Учитывая вышеизложенное, постоянная комиссия Государственного Совета Удмуртской Республики по бюджету, налогам и финансам поддерживает проект закона Удмуртской Республики «О бюджете Федерального фонда обязательного медицинского страхования на 20</w:t>
      </w:r>
      <w:r w:rsidR="00552C74">
        <w:rPr>
          <w:rFonts w:eastAsia="Times New Roman"/>
          <w:lang w:eastAsia="ru-RU"/>
        </w:rPr>
        <w:t>20</w:t>
      </w:r>
      <w:r w:rsidRPr="00552C74">
        <w:rPr>
          <w:rFonts w:eastAsia="Times New Roman"/>
          <w:lang w:eastAsia="ru-RU"/>
        </w:rPr>
        <w:t xml:space="preserve"> год и на плановый период 20</w:t>
      </w:r>
      <w:r w:rsidR="00F571CE" w:rsidRPr="00552C74">
        <w:rPr>
          <w:rFonts w:eastAsia="Times New Roman"/>
          <w:lang w:eastAsia="ru-RU"/>
        </w:rPr>
        <w:t>2</w:t>
      </w:r>
      <w:r w:rsidR="00552C74">
        <w:rPr>
          <w:rFonts w:eastAsia="Times New Roman"/>
          <w:lang w:eastAsia="ru-RU"/>
        </w:rPr>
        <w:t>1</w:t>
      </w:r>
      <w:r w:rsidRPr="00552C74">
        <w:rPr>
          <w:rFonts w:eastAsia="Times New Roman"/>
          <w:lang w:eastAsia="ru-RU"/>
        </w:rPr>
        <w:t xml:space="preserve"> и 202</w:t>
      </w:r>
      <w:r w:rsidR="00552C74">
        <w:rPr>
          <w:rFonts w:eastAsia="Times New Roman"/>
          <w:lang w:eastAsia="ru-RU"/>
        </w:rPr>
        <w:t>2</w:t>
      </w:r>
      <w:r w:rsidRPr="00552C74">
        <w:rPr>
          <w:rFonts w:eastAsia="Times New Roman"/>
          <w:lang w:eastAsia="ru-RU"/>
        </w:rPr>
        <w:t xml:space="preserve"> годов», считает необходимым внести его на рассмотрение очередной сессии Государственного Совета Удмуртской Республики </w:t>
      </w:r>
      <w:r w:rsidR="00F571CE" w:rsidRPr="00552C74">
        <w:rPr>
          <w:rFonts w:eastAsia="Times New Roman"/>
          <w:lang w:eastAsia="ru-RU"/>
        </w:rPr>
        <w:t>и рекомендует депутатам Государственного Совета Удмуртской Республики принять проект закона в первом</w:t>
      </w:r>
      <w:proofErr w:type="gramEnd"/>
      <w:r w:rsidR="00F571CE" w:rsidRPr="00552C74">
        <w:rPr>
          <w:rFonts w:eastAsia="Times New Roman"/>
          <w:lang w:eastAsia="ru-RU"/>
        </w:rPr>
        <w:t xml:space="preserve"> </w:t>
      </w:r>
      <w:proofErr w:type="gramStart"/>
      <w:r w:rsidR="00F571CE" w:rsidRPr="00552C74">
        <w:rPr>
          <w:rFonts w:eastAsia="Times New Roman"/>
          <w:lang w:eastAsia="ru-RU"/>
        </w:rPr>
        <w:t>чтении</w:t>
      </w:r>
      <w:proofErr w:type="gramEnd"/>
      <w:r w:rsidR="00F571CE" w:rsidRPr="00552C74">
        <w:rPr>
          <w:rFonts w:eastAsia="Times New Roman"/>
          <w:lang w:eastAsia="ru-RU"/>
        </w:rPr>
        <w:t>.</w:t>
      </w:r>
    </w:p>
    <w:p w:rsidR="0045236E" w:rsidRPr="00BB2F8A" w:rsidRDefault="0045236E" w:rsidP="002A1B64">
      <w:pPr>
        <w:spacing w:after="0" w:line="240" w:lineRule="auto"/>
        <w:jc w:val="both"/>
        <w:rPr>
          <w:highlight w:val="yellow"/>
        </w:rPr>
      </w:pPr>
    </w:p>
    <w:p w:rsidR="00BB2F8A" w:rsidRPr="00BB2F8A" w:rsidRDefault="00BB2F8A" w:rsidP="002A1B64">
      <w:pPr>
        <w:spacing w:after="0" w:line="240" w:lineRule="auto"/>
        <w:jc w:val="both"/>
        <w:rPr>
          <w:highlight w:val="yellow"/>
        </w:rPr>
      </w:pPr>
    </w:p>
    <w:p w:rsidR="00B617CC" w:rsidRPr="002D23A5" w:rsidRDefault="00617F78" w:rsidP="002A1B64">
      <w:pPr>
        <w:spacing w:after="0" w:line="240" w:lineRule="auto"/>
        <w:jc w:val="both"/>
      </w:pPr>
      <w:r w:rsidRPr="002D23A5">
        <w:t>П</w:t>
      </w:r>
      <w:r w:rsidR="006D2EB1" w:rsidRPr="002D23A5">
        <w:t xml:space="preserve">редседатель постоянной комиссии </w:t>
      </w:r>
      <w:r w:rsidR="00A73D9B" w:rsidRPr="002D23A5">
        <w:t xml:space="preserve">                        </w:t>
      </w:r>
      <w:r w:rsidR="006D2EB1" w:rsidRPr="002D23A5">
        <w:t xml:space="preserve">                  </w:t>
      </w:r>
    </w:p>
    <w:p w:rsidR="00617F78" w:rsidRPr="002D23A5" w:rsidRDefault="00617F78" w:rsidP="00617F78">
      <w:pPr>
        <w:spacing w:after="0" w:line="240" w:lineRule="auto"/>
        <w:jc w:val="both"/>
      </w:pPr>
      <w:r w:rsidRPr="002D23A5">
        <w:t>Государственного Совета</w:t>
      </w:r>
    </w:p>
    <w:p w:rsidR="00617F78" w:rsidRPr="002D23A5" w:rsidRDefault="00617F78" w:rsidP="00617F78">
      <w:pPr>
        <w:spacing w:after="0" w:line="240" w:lineRule="auto"/>
        <w:jc w:val="both"/>
      </w:pPr>
      <w:r w:rsidRPr="002D23A5">
        <w:t xml:space="preserve">Удмуртской Республики </w:t>
      </w:r>
    </w:p>
    <w:p w:rsidR="00F571CE" w:rsidRDefault="00617F78" w:rsidP="00343839">
      <w:pPr>
        <w:spacing w:after="0" w:line="240" w:lineRule="auto"/>
        <w:jc w:val="both"/>
      </w:pPr>
      <w:r w:rsidRPr="002D23A5">
        <w:t xml:space="preserve">по бюджету, налогам и финансам                      </w:t>
      </w:r>
      <w:r w:rsidR="00ED1DFC" w:rsidRPr="002D23A5">
        <w:t xml:space="preserve">                           </w:t>
      </w:r>
      <w:r w:rsidR="00F571CE" w:rsidRPr="002D23A5">
        <w:t xml:space="preserve"> </w:t>
      </w:r>
      <w:r w:rsidR="00ED1DFC" w:rsidRPr="002D23A5">
        <w:t xml:space="preserve">    </w:t>
      </w:r>
      <w:r w:rsidRPr="002D23A5">
        <w:t>Ю.А. Тюрин</w:t>
      </w:r>
    </w:p>
    <w:p w:rsidR="00F571CE" w:rsidRDefault="00F571CE" w:rsidP="00343839">
      <w:pPr>
        <w:spacing w:after="0" w:line="240" w:lineRule="auto"/>
        <w:jc w:val="both"/>
      </w:pPr>
    </w:p>
    <w:p w:rsidR="00F571CE" w:rsidRDefault="00F571CE" w:rsidP="00343839">
      <w:pPr>
        <w:spacing w:after="0" w:line="240" w:lineRule="auto"/>
        <w:jc w:val="both"/>
      </w:pPr>
    </w:p>
    <w:p w:rsidR="00F571CE" w:rsidRDefault="00F571CE" w:rsidP="00343839">
      <w:pPr>
        <w:spacing w:after="0" w:line="240" w:lineRule="auto"/>
        <w:jc w:val="both"/>
      </w:pPr>
    </w:p>
    <w:p w:rsidR="00F571CE" w:rsidRDefault="00F571CE" w:rsidP="00343839">
      <w:pPr>
        <w:spacing w:after="0" w:line="240" w:lineRule="auto"/>
        <w:jc w:val="both"/>
      </w:pPr>
    </w:p>
    <w:p w:rsidR="00F571CE" w:rsidRDefault="00F571CE" w:rsidP="00343839">
      <w:pPr>
        <w:spacing w:after="0" w:line="240" w:lineRule="auto"/>
        <w:jc w:val="both"/>
      </w:pPr>
    </w:p>
    <w:p w:rsidR="00F571CE" w:rsidRDefault="00F571CE" w:rsidP="00343839">
      <w:pPr>
        <w:spacing w:after="0" w:line="240" w:lineRule="auto"/>
        <w:jc w:val="both"/>
      </w:pPr>
    </w:p>
    <w:p w:rsidR="00F571CE" w:rsidRPr="00F571CE" w:rsidRDefault="00F571CE" w:rsidP="00F571CE">
      <w:pPr>
        <w:spacing w:after="0" w:line="240" w:lineRule="auto"/>
        <w:jc w:val="both"/>
      </w:pPr>
    </w:p>
    <w:sectPr w:rsidR="00F571CE" w:rsidRPr="00F571CE" w:rsidSect="00C819A0">
      <w:headerReference w:type="default" r:id="rId10"/>
      <w:pgSz w:w="11906" w:h="16838"/>
      <w:pgMar w:top="1134" w:right="849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093" w:rsidRDefault="004D4093" w:rsidP="00063AEE">
      <w:pPr>
        <w:spacing w:after="0" w:line="240" w:lineRule="auto"/>
      </w:pPr>
      <w:r>
        <w:separator/>
      </w:r>
    </w:p>
  </w:endnote>
  <w:endnote w:type="continuationSeparator" w:id="0">
    <w:p w:rsidR="004D4093" w:rsidRDefault="004D4093" w:rsidP="0006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093" w:rsidRDefault="004D4093" w:rsidP="00063AEE">
      <w:pPr>
        <w:spacing w:after="0" w:line="240" w:lineRule="auto"/>
      </w:pPr>
      <w:r>
        <w:separator/>
      </w:r>
    </w:p>
  </w:footnote>
  <w:footnote w:type="continuationSeparator" w:id="0">
    <w:p w:rsidR="004D4093" w:rsidRDefault="004D4093" w:rsidP="0006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716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D4093" w:rsidRPr="00A95D9A" w:rsidRDefault="004D4093">
        <w:pPr>
          <w:pStyle w:val="ad"/>
          <w:jc w:val="center"/>
          <w:rPr>
            <w:sz w:val="22"/>
            <w:szCs w:val="22"/>
          </w:rPr>
        </w:pPr>
        <w:r w:rsidRPr="00A95D9A">
          <w:rPr>
            <w:sz w:val="22"/>
            <w:szCs w:val="22"/>
          </w:rPr>
          <w:fldChar w:fldCharType="begin"/>
        </w:r>
        <w:r w:rsidRPr="00A95D9A">
          <w:rPr>
            <w:sz w:val="22"/>
            <w:szCs w:val="22"/>
          </w:rPr>
          <w:instrText>PAGE   \* MERGEFORMAT</w:instrText>
        </w:r>
        <w:r w:rsidRPr="00A95D9A">
          <w:rPr>
            <w:sz w:val="22"/>
            <w:szCs w:val="22"/>
          </w:rPr>
          <w:fldChar w:fldCharType="separate"/>
        </w:r>
        <w:r w:rsidR="00003EA5">
          <w:rPr>
            <w:noProof/>
            <w:sz w:val="22"/>
            <w:szCs w:val="22"/>
          </w:rPr>
          <w:t>2</w:t>
        </w:r>
        <w:r w:rsidRPr="00A95D9A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59603CC"/>
    <w:multiLevelType w:val="hybridMultilevel"/>
    <w:tmpl w:val="A066062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BE058C"/>
    <w:multiLevelType w:val="hybridMultilevel"/>
    <w:tmpl w:val="4A60BD88"/>
    <w:lvl w:ilvl="0" w:tplc="2806C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87BD7"/>
    <w:multiLevelType w:val="hybridMultilevel"/>
    <w:tmpl w:val="9D9CD8BC"/>
    <w:lvl w:ilvl="0" w:tplc="36EED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7200B1"/>
    <w:multiLevelType w:val="hybridMultilevel"/>
    <w:tmpl w:val="836ADFF2"/>
    <w:lvl w:ilvl="0" w:tplc="30D4BE20">
      <w:start w:val="1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0D977DA"/>
    <w:multiLevelType w:val="hybridMultilevel"/>
    <w:tmpl w:val="68E45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266312"/>
    <w:multiLevelType w:val="hybridMultilevel"/>
    <w:tmpl w:val="9EACDD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186046"/>
    <w:multiLevelType w:val="hybridMultilevel"/>
    <w:tmpl w:val="7496F81C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91E2FAF"/>
    <w:multiLevelType w:val="hybridMultilevel"/>
    <w:tmpl w:val="33885550"/>
    <w:lvl w:ilvl="0" w:tplc="0419000B">
      <w:start w:val="1"/>
      <w:numFmt w:val="bullet"/>
      <w:lvlText w:val="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>
    <w:nsid w:val="2AC501B2"/>
    <w:multiLevelType w:val="hybridMultilevel"/>
    <w:tmpl w:val="DAC65C1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728260A"/>
    <w:multiLevelType w:val="hybridMultilevel"/>
    <w:tmpl w:val="2324A2B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CD4C84"/>
    <w:multiLevelType w:val="hybridMultilevel"/>
    <w:tmpl w:val="55AE47C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E74347F"/>
    <w:multiLevelType w:val="multilevel"/>
    <w:tmpl w:val="469A01B4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22652"/>
    <w:multiLevelType w:val="hybridMultilevel"/>
    <w:tmpl w:val="F6D26F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8D39B7"/>
    <w:multiLevelType w:val="hybridMultilevel"/>
    <w:tmpl w:val="6A8ABFA0"/>
    <w:lvl w:ilvl="0" w:tplc="ECD2E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FC12C2"/>
    <w:multiLevelType w:val="multilevel"/>
    <w:tmpl w:val="B64AD2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8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C82F92"/>
    <w:multiLevelType w:val="hybridMultilevel"/>
    <w:tmpl w:val="C91A8EE2"/>
    <w:lvl w:ilvl="0" w:tplc="25069A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292785B"/>
    <w:multiLevelType w:val="hybridMultilevel"/>
    <w:tmpl w:val="6BF03B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2B43EC"/>
    <w:multiLevelType w:val="hybridMultilevel"/>
    <w:tmpl w:val="E1F8782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2D73D2"/>
    <w:multiLevelType w:val="hybridMultilevel"/>
    <w:tmpl w:val="2B04871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9600B18"/>
    <w:multiLevelType w:val="hybridMultilevel"/>
    <w:tmpl w:val="5850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B29BD"/>
    <w:multiLevelType w:val="hybridMultilevel"/>
    <w:tmpl w:val="0A4A02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8A1FBA"/>
    <w:multiLevelType w:val="hybridMultilevel"/>
    <w:tmpl w:val="A986E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56412E"/>
    <w:multiLevelType w:val="hybridMultilevel"/>
    <w:tmpl w:val="9A20433A"/>
    <w:lvl w:ilvl="0" w:tplc="0419000D">
      <w:start w:val="1"/>
      <w:numFmt w:val="bullet"/>
      <w:lvlText w:val=""/>
      <w:lvlJc w:val="left"/>
      <w:pPr>
        <w:ind w:left="22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23">
    <w:nsid w:val="662F575B"/>
    <w:multiLevelType w:val="hybridMultilevel"/>
    <w:tmpl w:val="285CDA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20D3235"/>
    <w:multiLevelType w:val="hybridMultilevel"/>
    <w:tmpl w:val="BF6E51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63755E"/>
    <w:multiLevelType w:val="hybridMultilevel"/>
    <w:tmpl w:val="24CCF404"/>
    <w:lvl w:ilvl="0" w:tplc="D750A36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76161F"/>
    <w:multiLevelType w:val="hybridMultilevel"/>
    <w:tmpl w:val="C8AC16D0"/>
    <w:lvl w:ilvl="0" w:tplc="98B6E3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6"/>
  </w:num>
  <w:num w:numId="4">
    <w:abstractNumId w:val="17"/>
  </w:num>
  <w:num w:numId="5">
    <w:abstractNumId w:val="24"/>
  </w:num>
  <w:num w:numId="6">
    <w:abstractNumId w:val="9"/>
  </w:num>
  <w:num w:numId="7">
    <w:abstractNumId w:val="3"/>
  </w:num>
  <w:num w:numId="8">
    <w:abstractNumId w:val="15"/>
  </w:num>
  <w:num w:numId="9">
    <w:abstractNumId w:val="8"/>
  </w:num>
  <w:num w:numId="10">
    <w:abstractNumId w:val="21"/>
  </w:num>
  <w:num w:numId="11">
    <w:abstractNumId w:val="4"/>
  </w:num>
  <w:num w:numId="12">
    <w:abstractNumId w:val="16"/>
  </w:num>
  <w:num w:numId="13">
    <w:abstractNumId w:val="24"/>
  </w:num>
  <w:num w:numId="14">
    <w:abstractNumId w:val="22"/>
  </w:num>
  <w:num w:numId="15">
    <w:abstractNumId w:val="19"/>
  </w:num>
  <w:num w:numId="16">
    <w:abstractNumId w:val="10"/>
  </w:num>
  <w:num w:numId="17">
    <w:abstractNumId w:val="18"/>
  </w:num>
  <w:num w:numId="18">
    <w:abstractNumId w:val="5"/>
  </w:num>
  <w:num w:numId="19">
    <w:abstractNumId w:val="1"/>
  </w:num>
  <w:num w:numId="20">
    <w:abstractNumId w:val="13"/>
  </w:num>
  <w:num w:numId="21">
    <w:abstractNumId w:val="2"/>
  </w:num>
  <w:num w:numId="22">
    <w:abstractNumId w:val="12"/>
  </w:num>
  <w:num w:numId="23">
    <w:abstractNumId w:val="14"/>
  </w:num>
  <w:num w:numId="24">
    <w:abstractNumId w:val="11"/>
  </w:num>
  <w:num w:numId="25">
    <w:abstractNumId w:val="23"/>
  </w:num>
  <w:num w:numId="26">
    <w:abstractNumId w:val="7"/>
  </w:num>
  <w:num w:numId="27">
    <w:abstractNumId w:val="2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0B2"/>
    <w:rsid w:val="000000E6"/>
    <w:rsid w:val="0000018E"/>
    <w:rsid w:val="0000060F"/>
    <w:rsid w:val="00002969"/>
    <w:rsid w:val="00003BC4"/>
    <w:rsid w:val="00003EA5"/>
    <w:rsid w:val="00005DDC"/>
    <w:rsid w:val="00007047"/>
    <w:rsid w:val="00007D4F"/>
    <w:rsid w:val="000202C8"/>
    <w:rsid w:val="00022AE3"/>
    <w:rsid w:val="0002394F"/>
    <w:rsid w:val="00025C44"/>
    <w:rsid w:val="00030F3A"/>
    <w:rsid w:val="00035DB0"/>
    <w:rsid w:val="00036198"/>
    <w:rsid w:val="000437B6"/>
    <w:rsid w:val="00046F7C"/>
    <w:rsid w:val="00047411"/>
    <w:rsid w:val="000505A2"/>
    <w:rsid w:val="000511CA"/>
    <w:rsid w:val="00060FCA"/>
    <w:rsid w:val="00062627"/>
    <w:rsid w:val="00063AEE"/>
    <w:rsid w:val="000678A7"/>
    <w:rsid w:val="0007039F"/>
    <w:rsid w:val="00071B67"/>
    <w:rsid w:val="00072CE2"/>
    <w:rsid w:val="000748BC"/>
    <w:rsid w:val="00077366"/>
    <w:rsid w:val="00084FE3"/>
    <w:rsid w:val="000858BE"/>
    <w:rsid w:val="000920FA"/>
    <w:rsid w:val="00094F35"/>
    <w:rsid w:val="00096CA9"/>
    <w:rsid w:val="000A31D8"/>
    <w:rsid w:val="000A59EA"/>
    <w:rsid w:val="000A5D42"/>
    <w:rsid w:val="000A62B2"/>
    <w:rsid w:val="000A7828"/>
    <w:rsid w:val="000B4EE5"/>
    <w:rsid w:val="000B5341"/>
    <w:rsid w:val="000B7850"/>
    <w:rsid w:val="000C0C00"/>
    <w:rsid w:val="000C3B40"/>
    <w:rsid w:val="000C5301"/>
    <w:rsid w:val="000C5599"/>
    <w:rsid w:val="000C74BE"/>
    <w:rsid w:val="000D3CC7"/>
    <w:rsid w:val="000D5183"/>
    <w:rsid w:val="000D5E43"/>
    <w:rsid w:val="000E6F52"/>
    <w:rsid w:val="000F12A1"/>
    <w:rsid w:val="000F42CC"/>
    <w:rsid w:val="000F4846"/>
    <w:rsid w:val="000F549C"/>
    <w:rsid w:val="000F6120"/>
    <w:rsid w:val="000F756A"/>
    <w:rsid w:val="000F7B43"/>
    <w:rsid w:val="00100670"/>
    <w:rsid w:val="00100BD8"/>
    <w:rsid w:val="0010686D"/>
    <w:rsid w:val="0012018A"/>
    <w:rsid w:val="00120FCE"/>
    <w:rsid w:val="001222A6"/>
    <w:rsid w:val="00124F1C"/>
    <w:rsid w:val="0013287C"/>
    <w:rsid w:val="00136ADA"/>
    <w:rsid w:val="00137CB7"/>
    <w:rsid w:val="00142814"/>
    <w:rsid w:val="00143C1F"/>
    <w:rsid w:val="00144328"/>
    <w:rsid w:val="00151958"/>
    <w:rsid w:val="00164954"/>
    <w:rsid w:val="00166558"/>
    <w:rsid w:val="00170230"/>
    <w:rsid w:val="001749D4"/>
    <w:rsid w:val="00182038"/>
    <w:rsid w:val="001827AD"/>
    <w:rsid w:val="00182F4B"/>
    <w:rsid w:val="00184F7C"/>
    <w:rsid w:val="00187988"/>
    <w:rsid w:val="00195613"/>
    <w:rsid w:val="0019654E"/>
    <w:rsid w:val="00197410"/>
    <w:rsid w:val="001A48E4"/>
    <w:rsid w:val="001A75E5"/>
    <w:rsid w:val="001A79B2"/>
    <w:rsid w:val="001B3850"/>
    <w:rsid w:val="001B63B5"/>
    <w:rsid w:val="001C24E1"/>
    <w:rsid w:val="001D0A90"/>
    <w:rsid w:val="001D0AF5"/>
    <w:rsid w:val="001D36A8"/>
    <w:rsid w:val="001D624A"/>
    <w:rsid w:val="001D768D"/>
    <w:rsid w:val="001E2CBF"/>
    <w:rsid w:val="001E786B"/>
    <w:rsid w:val="001F682E"/>
    <w:rsid w:val="00200F81"/>
    <w:rsid w:val="00203095"/>
    <w:rsid w:val="002042E8"/>
    <w:rsid w:val="002060B9"/>
    <w:rsid w:val="002124E2"/>
    <w:rsid w:val="002150A5"/>
    <w:rsid w:val="002152A7"/>
    <w:rsid w:val="00217E81"/>
    <w:rsid w:val="002217CA"/>
    <w:rsid w:val="00223EC3"/>
    <w:rsid w:val="0023090F"/>
    <w:rsid w:val="0023677A"/>
    <w:rsid w:val="00236BF7"/>
    <w:rsid w:val="00241555"/>
    <w:rsid w:val="002441ED"/>
    <w:rsid w:val="00244AAB"/>
    <w:rsid w:val="00245C4D"/>
    <w:rsid w:val="00246DCE"/>
    <w:rsid w:val="002470B6"/>
    <w:rsid w:val="00247F99"/>
    <w:rsid w:val="00251F9C"/>
    <w:rsid w:val="00253943"/>
    <w:rsid w:val="0025751C"/>
    <w:rsid w:val="00260B00"/>
    <w:rsid w:val="00266474"/>
    <w:rsid w:val="00267AA4"/>
    <w:rsid w:val="00267F59"/>
    <w:rsid w:val="00270F2F"/>
    <w:rsid w:val="00271005"/>
    <w:rsid w:val="00271378"/>
    <w:rsid w:val="002800F5"/>
    <w:rsid w:val="00296B2C"/>
    <w:rsid w:val="002A037E"/>
    <w:rsid w:val="002A1B64"/>
    <w:rsid w:val="002A6667"/>
    <w:rsid w:val="002B3BC4"/>
    <w:rsid w:val="002C0C3D"/>
    <w:rsid w:val="002C37E8"/>
    <w:rsid w:val="002D23A5"/>
    <w:rsid w:val="002D553E"/>
    <w:rsid w:val="002D6805"/>
    <w:rsid w:val="002E1B1A"/>
    <w:rsid w:val="002E5A60"/>
    <w:rsid w:val="002E6212"/>
    <w:rsid w:val="002F2998"/>
    <w:rsid w:val="0030190E"/>
    <w:rsid w:val="00301A5E"/>
    <w:rsid w:val="003114A2"/>
    <w:rsid w:val="00314EED"/>
    <w:rsid w:val="00316679"/>
    <w:rsid w:val="00316690"/>
    <w:rsid w:val="00321F00"/>
    <w:rsid w:val="00326E65"/>
    <w:rsid w:val="00327631"/>
    <w:rsid w:val="00330F29"/>
    <w:rsid w:val="00335666"/>
    <w:rsid w:val="003370AC"/>
    <w:rsid w:val="00337AA6"/>
    <w:rsid w:val="00343839"/>
    <w:rsid w:val="00343B3D"/>
    <w:rsid w:val="00343FC0"/>
    <w:rsid w:val="0034448B"/>
    <w:rsid w:val="00350B30"/>
    <w:rsid w:val="003524CF"/>
    <w:rsid w:val="0035579A"/>
    <w:rsid w:val="00363723"/>
    <w:rsid w:val="00363A04"/>
    <w:rsid w:val="00364CA3"/>
    <w:rsid w:val="00367C39"/>
    <w:rsid w:val="003772AA"/>
    <w:rsid w:val="003774EF"/>
    <w:rsid w:val="003852E2"/>
    <w:rsid w:val="00391097"/>
    <w:rsid w:val="00395EC7"/>
    <w:rsid w:val="003A2A09"/>
    <w:rsid w:val="003A4FEF"/>
    <w:rsid w:val="003A71ED"/>
    <w:rsid w:val="003B2580"/>
    <w:rsid w:val="003C3FFC"/>
    <w:rsid w:val="003D1CF2"/>
    <w:rsid w:val="003D3924"/>
    <w:rsid w:val="003D7A01"/>
    <w:rsid w:val="003E06A6"/>
    <w:rsid w:val="003E1137"/>
    <w:rsid w:val="003E1491"/>
    <w:rsid w:val="003E34BA"/>
    <w:rsid w:val="003F1651"/>
    <w:rsid w:val="003F1CB8"/>
    <w:rsid w:val="003F3E63"/>
    <w:rsid w:val="00400180"/>
    <w:rsid w:val="00403E18"/>
    <w:rsid w:val="004147CC"/>
    <w:rsid w:val="00416888"/>
    <w:rsid w:val="00423CCF"/>
    <w:rsid w:val="004305A1"/>
    <w:rsid w:val="004329C8"/>
    <w:rsid w:val="00442BDF"/>
    <w:rsid w:val="00445CBD"/>
    <w:rsid w:val="0045236E"/>
    <w:rsid w:val="00461CF1"/>
    <w:rsid w:val="00462C14"/>
    <w:rsid w:val="00464296"/>
    <w:rsid w:val="004650B2"/>
    <w:rsid w:val="004700C8"/>
    <w:rsid w:val="00473056"/>
    <w:rsid w:val="004756F1"/>
    <w:rsid w:val="00477B95"/>
    <w:rsid w:val="00481CE8"/>
    <w:rsid w:val="00482C28"/>
    <w:rsid w:val="00486242"/>
    <w:rsid w:val="00486E2A"/>
    <w:rsid w:val="00492363"/>
    <w:rsid w:val="00495930"/>
    <w:rsid w:val="00495A81"/>
    <w:rsid w:val="004962A5"/>
    <w:rsid w:val="004972A9"/>
    <w:rsid w:val="004A265F"/>
    <w:rsid w:val="004A2FE5"/>
    <w:rsid w:val="004A7AB5"/>
    <w:rsid w:val="004B2DD6"/>
    <w:rsid w:val="004B2E41"/>
    <w:rsid w:val="004B6229"/>
    <w:rsid w:val="004B6341"/>
    <w:rsid w:val="004B7307"/>
    <w:rsid w:val="004C235D"/>
    <w:rsid w:val="004C327E"/>
    <w:rsid w:val="004C64F5"/>
    <w:rsid w:val="004C79D3"/>
    <w:rsid w:val="004D4093"/>
    <w:rsid w:val="004D4777"/>
    <w:rsid w:val="004E3E6C"/>
    <w:rsid w:val="004E4613"/>
    <w:rsid w:val="004E6876"/>
    <w:rsid w:val="004F1791"/>
    <w:rsid w:val="004F4CB4"/>
    <w:rsid w:val="00501140"/>
    <w:rsid w:val="005027AB"/>
    <w:rsid w:val="00504795"/>
    <w:rsid w:val="0050786F"/>
    <w:rsid w:val="00517577"/>
    <w:rsid w:val="00520565"/>
    <w:rsid w:val="00521CEC"/>
    <w:rsid w:val="00521E5D"/>
    <w:rsid w:val="005267C6"/>
    <w:rsid w:val="005328A6"/>
    <w:rsid w:val="00534DDD"/>
    <w:rsid w:val="00540E06"/>
    <w:rsid w:val="00550A23"/>
    <w:rsid w:val="00551AF6"/>
    <w:rsid w:val="00552C74"/>
    <w:rsid w:val="0055626D"/>
    <w:rsid w:val="00556DA8"/>
    <w:rsid w:val="00562DD6"/>
    <w:rsid w:val="00563AF3"/>
    <w:rsid w:val="005713E8"/>
    <w:rsid w:val="0057795F"/>
    <w:rsid w:val="0058120E"/>
    <w:rsid w:val="005924A2"/>
    <w:rsid w:val="005A04E2"/>
    <w:rsid w:val="005A6298"/>
    <w:rsid w:val="005B0B22"/>
    <w:rsid w:val="005D11CA"/>
    <w:rsid w:val="005D2F18"/>
    <w:rsid w:val="005E0657"/>
    <w:rsid w:val="005E14D1"/>
    <w:rsid w:val="005E2A5E"/>
    <w:rsid w:val="005E2C2B"/>
    <w:rsid w:val="005E65C6"/>
    <w:rsid w:val="005F1A13"/>
    <w:rsid w:val="005F2BE6"/>
    <w:rsid w:val="00600CAD"/>
    <w:rsid w:val="00605856"/>
    <w:rsid w:val="00606038"/>
    <w:rsid w:val="006068B5"/>
    <w:rsid w:val="00610151"/>
    <w:rsid w:val="00610F18"/>
    <w:rsid w:val="006115D4"/>
    <w:rsid w:val="00611F3D"/>
    <w:rsid w:val="00617F78"/>
    <w:rsid w:val="006200CE"/>
    <w:rsid w:val="0062715D"/>
    <w:rsid w:val="006315A2"/>
    <w:rsid w:val="006355B2"/>
    <w:rsid w:val="00636839"/>
    <w:rsid w:val="006456C9"/>
    <w:rsid w:val="006469CD"/>
    <w:rsid w:val="0064795E"/>
    <w:rsid w:val="00652704"/>
    <w:rsid w:val="00652DEE"/>
    <w:rsid w:val="006563F3"/>
    <w:rsid w:val="00667413"/>
    <w:rsid w:val="00672D4C"/>
    <w:rsid w:val="006732A5"/>
    <w:rsid w:val="006808F0"/>
    <w:rsid w:val="006906E6"/>
    <w:rsid w:val="006A120C"/>
    <w:rsid w:val="006A2704"/>
    <w:rsid w:val="006A53D8"/>
    <w:rsid w:val="006A7540"/>
    <w:rsid w:val="006A7B6E"/>
    <w:rsid w:val="006B3CDF"/>
    <w:rsid w:val="006B71A8"/>
    <w:rsid w:val="006C057B"/>
    <w:rsid w:val="006C21CC"/>
    <w:rsid w:val="006C2F6F"/>
    <w:rsid w:val="006C3916"/>
    <w:rsid w:val="006C58B7"/>
    <w:rsid w:val="006C6228"/>
    <w:rsid w:val="006C6EC2"/>
    <w:rsid w:val="006D246E"/>
    <w:rsid w:val="006D2EB1"/>
    <w:rsid w:val="006D7A8E"/>
    <w:rsid w:val="006E584B"/>
    <w:rsid w:val="006F2D7D"/>
    <w:rsid w:val="006F4BCB"/>
    <w:rsid w:val="006F7BBE"/>
    <w:rsid w:val="0070019F"/>
    <w:rsid w:val="00700C87"/>
    <w:rsid w:val="00702D15"/>
    <w:rsid w:val="00705AC0"/>
    <w:rsid w:val="00706F32"/>
    <w:rsid w:val="007108C1"/>
    <w:rsid w:val="00713523"/>
    <w:rsid w:val="00715813"/>
    <w:rsid w:val="00717522"/>
    <w:rsid w:val="007224BB"/>
    <w:rsid w:val="00723EE0"/>
    <w:rsid w:val="0072648F"/>
    <w:rsid w:val="00726ACF"/>
    <w:rsid w:val="0072715C"/>
    <w:rsid w:val="00732588"/>
    <w:rsid w:val="00733B2E"/>
    <w:rsid w:val="00737164"/>
    <w:rsid w:val="00743B0C"/>
    <w:rsid w:val="00750226"/>
    <w:rsid w:val="0075236D"/>
    <w:rsid w:val="00752D8A"/>
    <w:rsid w:val="00753173"/>
    <w:rsid w:val="007639D7"/>
    <w:rsid w:val="00764EAA"/>
    <w:rsid w:val="007677C0"/>
    <w:rsid w:val="00770FBD"/>
    <w:rsid w:val="00772D86"/>
    <w:rsid w:val="0078268E"/>
    <w:rsid w:val="00783507"/>
    <w:rsid w:val="007909D1"/>
    <w:rsid w:val="00790F3C"/>
    <w:rsid w:val="007910F5"/>
    <w:rsid w:val="00793375"/>
    <w:rsid w:val="007953B8"/>
    <w:rsid w:val="00796E28"/>
    <w:rsid w:val="007A2A98"/>
    <w:rsid w:val="007A30F2"/>
    <w:rsid w:val="007A3BC4"/>
    <w:rsid w:val="007A3DD8"/>
    <w:rsid w:val="007B1797"/>
    <w:rsid w:val="007B41C3"/>
    <w:rsid w:val="007C0B2E"/>
    <w:rsid w:val="007C528C"/>
    <w:rsid w:val="007D141E"/>
    <w:rsid w:val="007D755A"/>
    <w:rsid w:val="007E270A"/>
    <w:rsid w:val="007E5AA1"/>
    <w:rsid w:val="007E5D8E"/>
    <w:rsid w:val="007E6ADD"/>
    <w:rsid w:val="007F02D7"/>
    <w:rsid w:val="007F37D3"/>
    <w:rsid w:val="007F3B62"/>
    <w:rsid w:val="007F438E"/>
    <w:rsid w:val="008032B9"/>
    <w:rsid w:val="00806DBC"/>
    <w:rsid w:val="00810BF0"/>
    <w:rsid w:val="008115E7"/>
    <w:rsid w:val="008122B9"/>
    <w:rsid w:val="008201FE"/>
    <w:rsid w:val="00825453"/>
    <w:rsid w:val="008268A8"/>
    <w:rsid w:val="00826E95"/>
    <w:rsid w:val="00831016"/>
    <w:rsid w:val="0083631A"/>
    <w:rsid w:val="008441B1"/>
    <w:rsid w:val="00844F6F"/>
    <w:rsid w:val="008629CF"/>
    <w:rsid w:val="00865432"/>
    <w:rsid w:val="008678CF"/>
    <w:rsid w:val="00874284"/>
    <w:rsid w:val="00875EB5"/>
    <w:rsid w:val="00875FDB"/>
    <w:rsid w:val="008831A7"/>
    <w:rsid w:val="008831F9"/>
    <w:rsid w:val="0088606E"/>
    <w:rsid w:val="00890B08"/>
    <w:rsid w:val="008916F0"/>
    <w:rsid w:val="00892F60"/>
    <w:rsid w:val="00895679"/>
    <w:rsid w:val="00896639"/>
    <w:rsid w:val="00897062"/>
    <w:rsid w:val="0089747C"/>
    <w:rsid w:val="00897910"/>
    <w:rsid w:val="008A1EBD"/>
    <w:rsid w:val="008A2184"/>
    <w:rsid w:val="008B01A5"/>
    <w:rsid w:val="008B0AAF"/>
    <w:rsid w:val="008B22A3"/>
    <w:rsid w:val="008B7927"/>
    <w:rsid w:val="008C0E52"/>
    <w:rsid w:val="008C174D"/>
    <w:rsid w:val="008C6828"/>
    <w:rsid w:val="008C79A9"/>
    <w:rsid w:val="008D1E7C"/>
    <w:rsid w:val="008D1E8D"/>
    <w:rsid w:val="008D53D6"/>
    <w:rsid w:val="008D7C37"/>
    <w:rsid w:val="008E0B26"/>
    <w:rsid w:val="008E4A37"/>
    <w:rsid w:val="008E6AB8"/>
    <w:rsid w:val="008F038B"/>
    <w:rsid w:val="008F26A2"/>
    <w:rsid w:val="008F397E"/>
    <w:rsid w:val="00902239"/>
    <w:rsid w:val="009065C9"/>
    <w:rsid w:val="00907FF6"/>
    <w:rsid w:val="00912984"/>
    <w:rsid w:val="00912A07"/>
    <w:rsid w:val="009159E2"/>
    <w:rsid w:val="0091704A"/>
    <w:rsid w:val="009253DA"/>
    <w:rsid w:val="00926FF4"/>
    <w:rsid w:val="00927566"/>
    <w:rsid w:val="00932CA5"/>
    <w:rsid w:val="00933127"/>
    <w:rsid w:val="00942478"/>
    <w:rsid w:val="00942AAF"/>
    <w:rsid w:val="00942D0B"/>
    <w:rsid w:val="00943F1A"/>
    <w:rsid w:val="00956B06"/>
    <w:rsid w:val="00961BB1"/>
    <w:rsid w:val="00961C22"/>
    <w:rsid w:val="00966F9D"/>
    <w:rsid w:val="0096704A"/>
    <w:rsid w:val="0096728D"/>
    <w:rsid w:val="00967D78"/>
    <w:rsid w:val="00991A7E"/>
    <w:rsid w:val="0099309E"/>
    <w:rsid w:val="0099440F"/>
    <w:rsid w:val="009A182E"/>
    <w:rsid w:val="009A215C"/>
    <w:rsid w:val="009A216D"/>
    <w:rsid w:val="009B12FC"/>
    <w:rsid w:val="009B69BC"/>
    <w:rsid w:val="009C37AE"/>
    <w:rsid w:val="009C4F17"/>
    <w:rsid w:val="009D00FE"/>
    <w:rsid w:val="009D144E"/>
    <w:rsid w:val="009D3560"/>
    <w:rsid w:val="009E29A5"/>
    <w:rsid w:val="009E76CD"/>
    <w:rsid w:val="009F323E"/>
    <w:rsid w:val="009F6014"/>
    <w:rsid w:val="00A0325F"/>
    <w:rsid w:val="00A07900"/>
    <w:rsid w:val="00A07D4F"/>
    <w:rsid w:val="00A101A2"/>
    <w:rsid w:val="00A13A4B"/>
    <w:rsid w:val="00A1484A"/>
    <w:rsid w:val="00A14BD6"/>
    <w:rsid w:val="00A20786"/>
    <w:rsid w:val="00A21675"/>
    <w:rsid w:val="00A273C8"/>
    <w:rsid w:val="00A2786D"/>
    <w:rsid w:val="00A42F0E"/>
    <w:rsid w:val="00A4537C"/>
    <w:rsid w:val="00A51FE1"/>
    <w:rsid w:val="00A54107"/>
    <w:rsid w:val="00A6149F"/>
    <w:rsid w:val="00A640DF"/>
    <w:rsid w:val="00A65199"/>
    <w:rsid w:val="00A654DB"/>
    <w:rsid w:val="00A73D9B"/>
    <w:rsid w:val="00A7458C"/>
    <w:rsid w:val="00A76AD8"/>
    <w:rsid w:val="00A8146D"/>
    <w:rsid w:val="00A85182"/>
    <w:rsid w:val="00A87105"/>
    <w:rsid w:val="00A923DC"/>
    <w:rsid w:val="00A93A04"/>
    <w:rsid w:val="00A95D9A"/>
    <w:rsid w:val="00A96EAA"/>
    <w:rsid w:val="00A96FFF"/>
    <w:rsid w:val="00A979C4"/>
    <w:rsid w:val="00AA18A0"/>
    <w:rsid w:val="00AA4869"/>
    <w:rsid w:val="00AB7E83"/>
    <w:rsid w:val="00AC7AC9"/>
    <w:rsid w:val="00AD075E"/>
    <w:rsid w:val="00AD1F7F"/>
    <w:rsid w:val="00AE2795"/>
    <w:rsid w:val="00AE5F7B"/>
    <w:rsid w:val="00AF0C38"/>
    <w:rsid w:val="00AF14D9"/>
    <w:rsid w:val="00AF2F8F"/>
    <w:rsid w:val="00B00D0C"/>
    <w:rsid w:val="00B01151"/>
    <w:rsid w:val="00B01A07"/>
    <w:rsid w:val="00B02763"/>
    <w:rsid w:val="00B07687"/>
    <w:rsid w:val="00B10DF8"/>
    <w:rsid w:val="00B16E5B"/>
    <w:rsid w:val="00B17899"/>
    <w:rsid w:val="00B25F1A"/>
    <w:rsid w:val="00B2616F"/>
    <w:rsid w:val="00B26537"/>
    <w:rsid w:val="00B34332"/>
    <w:rsid w:val="00B34C8A"/>
    <w:rsid w:val="00B34CA3"/>
    <w:rsid w:val="00B449CF"/>
    <w:rsid w:val="00B44D32"/>
    <w:rsid w:val="00B540E1"/>
    <w:rsid w:val="00B6061F"/>
    <w:rsid w:val="00B60C9E"/>
    <w:rsid w:val="00B617CC"/>
    <w:rsid w:val="00B620BD"/>
    <w:rsid w:val="00B6452D"/>
    <w:rsid w:val="00B740EC"/>
    <w:rsid w:val="00B743C2"/>
    <w:rsid w:val="00B75566"/>
    <w:rsid w:val="00B76CFD"/>
    <w:rsid w:val="00B80900"/>
    <w:rsid w:val="00B8279C"/>
    <w:rsid w:val="00B82F2B"/>
    <w:rsid w:val="00B87644"/>
    <w:rsid w:val="00B87A74"/>
    <w:rsid w:val="00B900C1"/>
    <w:rsid w:val="00B9373A"/>
    <w:rsid w:val="00B94510"/>
    <w:rsid w:val="00B97D4F"/>
    <w:rsid w:val="00BA2939"/>
    <w:rsid w:val="00BA62C4"/>
    <w:rsid w:val="00BA7525"/>
    <w:rsid w:val="00BB2F8A"/>
    <w:rsid w:val="00BC17AE"/>
    <w:rsid w:val="00BD1F92"/>
    <w:rsid w:val="00BD3046"/>
    <w:rsid w:val="00BD6586"/>
    <w:rsid w:val="00BE338F"/>
    <w:rsid w:val="00BE4587"/>
    <w:rsid w:val="00BE5466"/>
    <w:rsid w:val="00BE785E"/>
    <w:rsid w:val="00BF233C"/>
    <w:rsid w:val="00BF2785"/>
    <w:rsid w:val="00BF618F"/>
    <w:rsid w:val="00C0212E"/>
    <w:rsid w:val="00C10550"/>
    <w:rsid w:val="00C14323"/>
    <w:rsid w:val="00C15A5A"/>
    <w:rsid w:val="00C15B47"/>
    <w:rsid w:val="00C16ABB"/>
    <w:rsid w:val="00C20A38"/>
    <w:rsid w:val="00C21A70"/>
    <w:rsid w:val="00C224F8"/>
    <w:rsid w:val="00C23930"/>
    <w:rsid w:val="00C24F8E"/>
    <w:rsid w:val="00C34E48"/>
    <w:rsid w:val="00C37F68"/>
    <w:rsid w:val="00C4188D"/>
    <w:rsid w:val="00C4202E"/>
    <w:rsid w:val="00C5224A"/>
    <w:rsid w:val="00C52DA4"/>
    <w:rsid w:val="00C56421"/>
    <w:rsid w:val="00C57B64"/>
    <w:rsid w:val="00C613EC"/>
    <w:rsid w:val="00C73122"/>
    <w:rsid w:val="00C73559"/>
    <w:rsid w:val="00C74432"/>
    <w:rsid w:val="00C81720"/>
    <w:rsid w:val="00C819A0"/>
    <w:rsid w:val="00C8220D"/>
    <w:rsid w:val="00C82F6E"/>
    <w:rsid w:val="00C97F11"/>
    <w:rsid w:val="00CA137E"/>
    <w:rsid w:val="00CA3172"/>
    <w:rsid w:val="00CB12CF"/>
    <w:rsid w:val="00CB1A87"/>
    <w:rsid w:val="00CB1D6C"/>
    <w:rsid w:val="00CB37E7"/>
    <w:rsid w:val="00CB4591"/>
    <w:rsid w:val="00CB78B8"/>
    <w:rsid w:val="00CD003A"/>
    <w:rsid w:val="00CD0C55"/>
    <w:rsid w:val="00CD59FD"/>
    <w:rsid w:val="00CE15FB"/>
    <w:rsid w:val="00CE279C"/>
    <w:rsid w:val="00CE624B"/>
    <w:rsid w:val="00CE7A35"/>
    <w:rsid w:val="00CF072E"/>
    <w:rsid w:val="00CF5024"/>
    <w:rsid w:val="00CF6C1A"/>
    <w:rsid w:val="00D058C4"/>
    <w:rsid w:val="00D124AB"/>
    <w:rsid w:val="00D134D4"/>
    <w:rsid w:val="00D13794"/>
    <w:rsid w:val="00D21F21"/>
    <w:rsid w:val="00D225E2"/>
    <w:rsid w:val="00D25446"/>
    <w:rsid w:val="00D3054E"/>
    <w:rsid w:val="00D30A52"/>
    <w:rsid w:val="00D31706"/>
    <w:rsid w:val="00D332ED"/>
    <w:rsid w:val="00D33FD9"/>
    <w:rsid w:val="00D36E52"/>
    <w:rsid w:val="00D41769"/>
    <w:rsid w:val="00D42CC2"/>
    <w:rsid w:val="00D51FDA"/>
    <w:rsid w:val="00D52BFA"/>
    <w:rsid w:val="00D54750"/>
    <w:rsid w:val="00D54FA5"/>
    <w:rsid w:val="00D569A4"/>
    <w:rsid w:val="00D572BA"/>
    <w:rsid w:val="00D63233"/>
    <w:rsid w:val="00D65459"/>
    <w:rsid w:val="00D714DE"/>
    <w:rsid w:val="00D8115A"/>
    <w:rsid w:val="00D833D7"/>
    <w:rsid w:val="00D87236"/>
    <w:rsid w:val="00D87C5C"/>
    <w:rsid w:val="00D90BE9"/>
    <w:rsid w:val="00D9370F"/>
    <w:rsid w:val="00D94415"/>
    <w:rsid w:val="00D946EC"/>
    <w:rsid w:val="00DA45ED"/>
    <w:rsid w:val="00DA5528"/>
    <w:rsid w:val="00DB0575"/>
    <w:rsid w:val="00DB10A0"/>
    <w:rsid w:val="00DB2649"/>
    <w:rsid w:val="00DB2B2A"/>
    <w:rsid w:val="00DB5D9A"/>
    <w:rsid w:val="00DB7F5C"/>
    <w:rsid w:val="00DC12E0"/>
    <w:rsid w:val="00DC213B"/>
    <w:rsid w:val="00DD0258"/>
    <w:rsid w:val="00DD0557"/>
    <w:rsid w:val="00DD18F6"/>
    <w:rsid w:val="00DD61E0"/>
    <w:rsid w:val="00DD6711"/>
    <w:rsid w:val="00DE360E"/>
    <w:rsid w:val="00DF4673"/>
    <w:rsid w:val="00E048D2"/>
    <w:rsid w:val="00E1313F"/>
    <w:rsid w:val="00E13585"/>
    <w:rsid w:val="00E13F0E"/>
    <w:rsid w:val="00E1421F"/>
    <w:rsid w:val="00E162DF"/>
    <w:rsid w:val="00E173D8"/>
    <w:rsid w:val="00E25FB7"/>
    <w:rsid w:val="00E32628"/>
    <w:rsid w:val="00E33257"/>
    <w:rsid w:val="00E345D3"/>
    <w:rsid w:val="00E35A5A"/>
    <w:rsid w:val="00E3760F"/>
    <w:rsid w:val="00E42BCE"/>
    <w:rsid w:val="00E45DB2"/>
    <w:rsid w:val="00E46E44"/>
    <w:rsid w:val="00E473E2"/>
    <w:rsid w:val="00E50262"/>
    <w:rsid w:val="00E506D4"/>
    <w:rsid w:val="00E5494B"/>
    <w:rsid w:val="00E56A47"/>
    <w:rsid w:val="00E61FB3"/>
    <w:rsid w:val="00E679B2"/>
    <w:rsid w:val="00E70962"/>
    <w:rsid w:val="00E73FAC"/>
    <w:rsid w:val="00E7423D"/>
    <w:rsid w:val="00E74EBB"/>
    <w:rsid w:val="00E80C31"/>
    <w:rsid w:val="00E80D0A"/>
    <w:rsid w:val="00E83A7B"/>
    <w:rsid w:val="00E84D0A"/>
    <w:rsid w:val="00E86E0E"/>
    <w:rsid w:val="00E87839"/>
    <w:rsid w:val="00E90777"/>
    <w:rsid w:val="00EA2489"/>
    <w:rsid w:val="00EB2C43"/>
    <w:rsid w:val="00EB2DBE"/>
    <w:rsid w:val="00EB4FDD"/>
    <w:rsid w:val="00EB57DC"/>
    <w:rsid w:val="00EB6B75"/>
    <w:rsid w:val="00ED1DFC"/>
    <w:rsid w:val="00ED5DFE"/>
    <w:rsid w:val="00ED77B4"/>
    <w:rsid w:val="00ED7D6B"/>
    <w:rsid w:val="00EE12B8"/>
    <w:rsid w:val="00EE34D7"/>
    <w:rsid w:val="00EE3C98"/>
    <w:rsid w:val="00EE6971"/>
    <w:rsid w:val="00F0020A"/>
    <w:rsid w:val="00F00404"/>
    <w:rsid w:val="00F02358"/>
    <w:rsid w:val="00F03C3A"/>
    <w:rsid w:val="00F0669F"/>
    <w:rsid w:val="00F170F2"/>
    <w:rsid w:val="00F179D6"/>
    <w:rsid w:val="00F210BA"/>
    <w:rsid w:val="00F22097"/>
    <w:rsid w:val="00F25268"/>
    <w:rsid w:val="00F266E7"/>
    <w:rsid w:val="00F341A0"/>
    <w:rsid w:val="00F4156E"/>
    <w:rsid w:val="00F42086"/>
    <w:rsid w:val="00F45E94"/>
    <w:rsid w:val="00F50F0F"/>
    <w:rsid w:val="00F54B32"/>
    <w:rsid w:val="00F5558A"/>
    <w:rsid w:val="00F565EB"/>
    <w:rsid w:val="00F571CE"/>
    <w:rsid w:val="00F62951"/>
    <w:rsid w:val="00F674A8"/>
    <w:rsid w:val="00F70C77"/>
    <w:rsid w:val="00F87899"/>
    <w:rsid w:val="00F92F35"/>
    <w:rsid w:val="00F930B2"/>
    <w:rsid w:val="00F955F8"/>
    <w:rsid w:val="00FA088D"/>
    <w:rsid w:val="00FA0CF8"/>
    <w:rsid w:val="00FA1667"/>
    <w:rsid w:val="00FA2080"/>
    <w:rsid w:val="00FA58A8"/>
    <w:rsid w:val="00FA645E"/>
    <w:rsid w:val="00FB27F2"/>
    <w:rsid w:val="00FB57F9"/>
    <w:rsid w:val="00FB6438"/>
    <w:rsid w:val="00FB6ABC"/>
    <w:rsid w:val="00FB7AA1"/>
    <w:rsid w:val="00FC1BE3"/>
    <w:rsid w:val="00FC23A5"/>
    <w:rsid w:val="00FC3F5B"/>
    <w:rsid w:val="00FC4C7D"/>
    <w:rsid w:val="00FC5B15"/>
    <w:rsid w:val="00FD20E5"/>
    <w:rsid w:val="00FD3576"/>
    <w:rsid w:val="00FD4413"/>
    <w:rsid w:val="00FE0DB7"/>
    <w:rsid w:val="00FE0F25"/>
    <w:rsid w:val="00FE0FF6"/>
    <w:rsid w:val="00FE39C8"/>
    <w:rsid w:val="00FE6D2D"/>
    <w:rsid w:val="00FE6E38"/>
    <w:rsid w:val="00FF15A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EC7"/>
    <w:rPr>
      <w:color w:val="0000FF"/>
      <w:u w:val="single"/>
    </w:rPr>
  </w:style>
  <w:style w:type="paragraph" w:styleId="a4">
    <w:name w:val="Title"/>
    <w:basedOn w:val="a"/>
    <w:link w:val="a5"/>
    <w:qFormat/>
    <w:rsid w:val="006D7A8E"/>
    <w:pPr>
      <w:spacing w:after="0" w:line="240" w:lineRule="auto"/>
      <w:jc w:val="center"/>
    </w:pPr>
    <w:rPr>
      <w:rFonts w:eastAsia="Times New Roman"/>
      <w:b/>
      <w:bCs/>
      <w:szCs w:val="20"/>
      <w:lang w:eastAsia="ru-RU"/>
    </w:rPr>
  </w:style>
  <w:style w:type="character" w:customStyle="1" w:styleId="a5">
    <w:name w:val="Название Знак"/>
    <w:basedOn w:val="a0"/>
    <w:link w:val="a4"/>
    <w:rsid w:val="006D7A8E"/>
    <w:rPr>
      <w:rFonts w:eastAsia="Times New Roman"/>
      <w:b/>
      <w:bCs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D7A8E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D7A8E"/>
    <w:rPr>
      <w:rFonts w:eastAsia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F81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136AD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36ADA"/>
  </w:style>
  <w:style w:type="paragraph" w:styleId="2">
    <w:name w:val="Body Text Indent 2"/>
    <w:basedOn w:val="a"/>
    <w:link w:val="20"/>
    <w:uiPriority w:val="99"/>
    <w:semiHidden/>
    <w:unhideWhenUsed/>
    <w:rsid w:val="00136A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6ADA"/>
  </w:style>
  <w:style w:type="paragraph" w:styleId="aa">
    <w:name w:val="Normal (Web)"/>
    <w:basedOn w:val="a"/>
    <w:uiPriority w:val="99"/>
    <w:unhideWhenUsed/>
    <w:rsid w:val="00DB7F5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B7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DB7F5C"/>
    <w:rPr>
      <w:b/>
      <w:bCs/>
    </w:rPr>
  </w:style>
  <w:style w:type="paragraph" w:styleId="ac">
    <w:name w:val="List Paragraph"/>
    <w:basedOn w:val="a"/>
    <w:uiPriority w:val="34"/>
    <w:qFormat/>
    <w:rsid w:val="00120FCE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63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3AEE"/>
  </w:style>
  <w:style w:type="paragraph" w:styleId="af">
    <w:name w:val="footer"/>
    <w:basedOn w:val="a"/>
    <w:link w:val="af0"/>
    <w:uiPriority w:val="99"/>
    <w:unhideWhenUsed/>
    <w:rsid w:val="00063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63AEE"/>
  </w:style>
  <w:style w:type="table" w:styleId="af1">
    <w:name w:val="Table Grid"/>
    <w:basedOn w:val="a1"/>
    <w:uiPriority w:val="59"/>
    <w:rsid w:val="00301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3B369-4D94-41B4-95CF-BD4E462D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10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 Андрей Сергеевич</dc:creator>
  <cp:lastModifiedBy>Синельник Татьяна Викторовна</cp:lastModifiedBy>
  <cp:revision>48</cp:revision>
  <cp:lastPrinted>2019-11-18T04:22:00Z</cp:lastPrinted>
  <dcterms:created xsi:type="dcterms:W3CDTF">2019-11-11T12:07:00Z</dcterms:created>
  <dcterms:modified xsi:type="dcterms:W3CDTF">2019-11-18T04:22:00Z</dcterms:modified>
</cp:coreProperties>
</file>