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FD1EA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AD5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>
            <w:pPr>
              <w:jc w:val="right"/>
            </w:pPr>
            <w:r>
              <w:rPr>
                <w:sz w:val="28"/>
                <w:szCs w:val="28"/>
              </w:rPr>
              <w:t>№ ______</w:t>
            </w:r>
          </w:p>
        </w:tc>
      </w:tr>
    </w:tbl>
    <w:p w:rsidR="00BF627D" w:rsidRDefault="00F975C5" w:rsidP="00FD1EAF">
      <w:pPr>
        <w:pStyle w:val="a3"/>
      </w:pPr>
      <w:r w:rsidRPr="00FD1EAF">
        <w:t>Ижевск</w:t>
      </w:r>
    </w:p>
    <w:p w:rsidR="006867CB" w:rsidRDefault="006867CB" w:rsidP="00FD1EAF">
      <w:pPr>
        <w:pStyle w:val="a3"/>
      </w:pPr>
    </w:p>
    <w:p w:rsidR="00B357DA" w:rsidRPr="00D040C9" w:rsidRDefault="00B357DA" w:rsidP="00B357DA">
      <w:pPr>
        <w:tabs>
          <w:tab w:val="left" w:pos="9354"/>
        </w:tabs>
        <w:jc w:val="center"/>
        <w:outlineLvl w:val="0"/>
        <w:rPr>
          <w:b/>
          <w:bCs/>
          <w:sz w:val="28"/>
          <w:szCs w:val="20"/>
        </w:rPr>
      </w:pPr>
      <w:r w:rsidRPr="00D040C9">
        <w:rPr>
          <w:b/>
          <w:bCs/>
          <w:sz w:val="28"/>
          <w:szCs w:val="20"/>
        </w:rPr>
        <w:t>ЗАКЛЮЧЕНИЕ</w:t>
      </w:r>
    </w:p>
    <w:p w:rsidR="00B357DA" w:rsidRDefault="00B357DA" w:rsidP="00B357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D040C9">
        <w:rPr>
          <w:b/>
          <w:sz w:val="28"/>
          <w:szCs w:val="28"/>
        </w:rPr>
        <w:t>на</w:t>
      </w:r>
      <w:proofErr w:type="gramEnd"/>
      <w:r w:rsidRPr="00D040C9">
        <w:rPr>
          <w:b/>
          <w:sz w:val="28"/>
          <w:szCs w:val="28"/>
        </w:rPr>
        <w:t xml:space="preserve"> проект закона Удмуртской Республики  №</w:t>
      </w:r>
      <w:r>
        <w:rPr>
          <w:b/>
          <w:sz w:val="28"/>
          <w:szCs w:val="28"/>
        </w:rPr>
        <w:t>3</w:t>
      </w:r>
      <w:r w:rsidR="00565F30">
        <w:rPr>
          <w:b/>
          <w:sz w:val="28"/>
          <w:szCs w:val="28"/>
        </w:rPr>
        <w:t>966</w:t>
      </w:r>
      <w:r w:rsidRPr="00D040C9">
        <w:rPr>
          <w:b/>
          <w:sz w:val="28"/>
          <w:szCs w:val="28"/>
        </w:rPr>
        <w:t xml:space="preserve">-5зп </w:t>
      </w:r>
    </w:p>
    <w:p w:rsidR="00565F30" w:rsidRDefault="00565F30" w:rsidP="00565F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внесении изменений в Закон Удмуртской Республики «Об оценке регулирующего воздействия проектов нормативных правовых актов и экспертизе нормативных правовых актов в Удмуртской Республике»</w:t>
      </w:r>
    </w:p>
    <w:p w:rsidR="00B357DA" w:rsidRPr="00D040C9" w:rsidRDefault="00B357DA" w:rsidP="00B357DA">
      <w:pPr>
        <w:tabs>
          <w:tab w:val="left" w:pos="9354"/>
        </w:tabs>
        <w:ind w:firstLine="720"/>
        <w:jc w:val="center"/>
        <w:rPr>
          <w:b/>
          <w:bCs/>
          <w:sz w:val="28"/>
          <w:szCs w:val="28"/>
        </w:rPr>
      </w:pPr>
    </w:p>
    <w:p w:rsidR="006867CB" w:rsidRDefault="00B357DA" w:rsidP="00B357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40C9">
        <w:rPr>
          <w:sz w:val="28"/>
          <w:szCs w:val="28"/>
        </w:rPr>
        <w:t xml:space="preserve">Правовое управление Аппарата Государственного Совета Удмуртской Республики, рассмотрев проект закона Удмуртской Республики № </w:t>
      </w:r>
      <w:r>
        <w:rPr>
          <w:sz w:val="28"/>
          <w:szCs w:val="28"/>
        </w:rPr>
        <w:t>3</w:t>
      </w:r>
      <w:r w:rsidR="00565F30">
        <w:rPr>
          <w:sz w:val="28"/>
          <w:szCs w:val="28"/>
        </w:rPr>
        <w:t>966</w:t>
      </w:r>
      <w:r w:rsidRPr="00D040C9">
        <w:rPr>
          <w:sz w:val="28"/>
          <w:szCs w:val="28"/>
        </w:rPr>
        <w:t xml:space="preserve">-5зп </w:t>
      </w:r>
      <w:r w:rsidR="00565F30" w:rsidRPr="00565F30">
        <w:rPr>
          <w:sz w:val="28"/>
          <w:szCs w:val="28"/>
        </w:rPr>
        <w:t xml:space="preserve">«О внесении изменений в Закон Удмуртской Республики «Об оценке регулирующего воздействия проектов нормативных правовых актов и экспертизе нормативных правовых актов в Удмуртской Республике» </w:t>
      </w:r>
      <w:r w:rsidRPr="00D040C9">
        <w:rPr>
          <w:sz w:val="28"/>
          <w:szCs w:val="28"/>
        </w:rPr>
        <w:t>(далее – проект закона), отмечает</w:t>
      </w:r>
      <w:r w:rsidR="00565F30">
        <w:rPr>
          <w:sz w:val="28"/>
          <w:szCs w:val="28"/>
        </w:rPr>
        <w:t xml:space="preserve"> следующее.</w:t>
      </w:r>
    </w:p>
    <w:p w:rsidR="0061125C" w:rsidRDefault="00232D2C" w:rsidP="00232D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1 </w:t>
      </w:r>
      <w:r w:rsidR="00565F30">
        <w:rPr>
          <w:sz w:val="28"/>
          <w:szCs w:val="28"/>
        </w:rPr>
        <w:t xml:space="preserve">статьи 1 проекта закона предлагается </w:t>
      </w:r>
      <w:r>
        <w:rPr>
          <w:sz w:val="28"/>
          <w:szCs w:val="28"/>
        </w:rPr>
        <w:t xml:space="preserve">часть 2 статьи 1 Закона Удмуртской Республики </w:t>
      </w:r>
      <w:r w:rsidRPr="00232D2C">
        <w:rPr>
          <w:sz w:val="28"/>
          <w:szCs w:val="28"/>
        </w:rPr>
        <w:t xml:space="preserve"> от 11</w:t>
      </w:r>
      <w:r>
        <w:rPr>
          <w:sz w:val="28"/>
          <w:szCs w:val="28"/>
        </w:rPr>
        <w:t xml:space="preserve"> декабря </w:t>
      </w:r>
      <w:r w:rsidRPr="00232D2C">
        <w:rPr>
          <w:sz w:val="28"/>
          <w:szCs w:val="28"/>
        </w:rPr>
        <w:t xml:space="preserve">2014 </w:t>
      </w:r>
      <w:r>
        <w:rPr>
          <w:sz w:val="28"/>
          <w:szCs w:val="28"/>
        </w:rPr>
        <w:t>года №</w:t>
      </w:r>
      <w:r w:rsidRPr="00232D2C">
        <w:rPr>
          <w:sz w:val="28"/>
          <w:szCs w:val="28"/>
        </w:rPr>
        <w:t xml:space="preserve"> 75-РЗ</w:t>
      </w:r>
      <w:r>
        <w:rPr>
          <w:sz w:val="28"/>
          <w:szCs w:val="28"/>
        </w:rPr>
        <w:t xml:space="preserve"> «</w:t>
      </w:r>
      <w:r w:rsidRPr="00232D2C">
        <w:rPr>
          <w:sz w:val="28"/>
          <w:szCs w:val="28"/>
        </w:rPr>
        <w:t>Об оценке регулирующего воздействия проектов нормативных правовых актов и экспертизе нормативных правовы</w:t>
      </w:r>
      <w:r>
        <w:rPr>
          <w:sz w:val="28"/>
          <w:szCs w:val="28"/>
        </w:rPr>
        <w:t xml:space="preserve">х актов в Удмуртской Республике» ( далее – Закон Удмуртской Республики) </w:t>
      </w:r>
      <w:r w:rsidR="00565F30">
        <w:rPr>
          <w:sz w:val="28"/>
          <w:szCs w:val="28"/>
        </w:rPr>
        <w:t xml:space="preserve">изложить в новой редакции, предусмотрев, что к проектам </w:t>
      </w:r>
      <w:r w:rsidR="00565F30" w:rsidRPr="00565F30">
        <w:rPr>
          <w:sz w:val="28"/>
          <w:szCs w:val="28"/>
        </w:rPr>
        <w:t xml:space="preserve">нормативных правовых актов и нормативным правовым актам, затрагивающим вопросы осуществления предпринимательской и инвестиционной деятельности, относятся проекты нормативных правовых актов и нормативные правовые акты по </w:t>
      </w:r>
      <w:r w:rsidR="0061125C" w:rsidRPr="00565F30">
        <w:rPr>
          <w:sz w:val="28"/>
          <w:szCs w:val="28"/>
        </w:rPr>
        <w:t>вопросам</w:t>
      </w:r>
      <w:r w:rsidR="0061125C">
        <w:rPr>
          <w:sz w:val="28"/>
          <w:szCs w:val="28"/>
        </w:rPr>
        <w:t xml:space="preserve">, </w:t>
      </w:r>
      <w:r w:rsidR="00565F30">
        <w:rPr>
          <w:sz w:val="28"/>
          <w:szCs w:val="28"/>
        </w:rPr>
        <w:t xml:space="preserve">определённым данным </w:t>
      </w:r>
      <w:r>
        <w:rPr>
          <w:sz w:val="28"/>
          <w:szCs w:val="28"/>
        </w:rPr>
        <w:t>З</w:t>
      </w:r>
      <w:r w:rsidR="00565F30">
        <w:rPr>
          <w:sz w:val="28"/>
          <w:szCs w:val="28"/>
        </w:rPr>
        <w:t>аконом. Определение в законе субъекта</w:t>
      </w:r>
      <w:r>
        <w:rPr>
          <w:sz w:val="28"/>
          <w:szCs w:val="28"/>
        </w:rPr>
        <w:t xml:space="preserve"> Российской Федерации </w:t>
      </w:r>
      <w:r w:rsidR="00565F30">
        <w:rPr>
          <w:sz w:val="28"/>
          <w:szCs w:val="28"/>
        </w:rPr>
        <w:t>круга нормативных правовых</w:t>
      </w:r>
      <w:r w:rsidR="0061125C">
        <w:rPr>
          <w:sz w:val="28"/>
          <w:szCs w:val="28"/>
        </w:rPr>
        <w:t xml:space="preserve"> актов</w:t>
      </w:r>
      <w:r w:rsidR="00565F30">
        <w:rPr>
          <w:sz w:val="28"/>
          <w:szCs w:val="28"/>
        </w:rPr>
        <w:t>, подлежащих оценке регулирующе</w:t>
      </w:r>
      <w:r>
        <w:rPr>
          <w:sz w:val="28"/>
          <w:szCs w:val="28"/>
        </w:rPr>
        <w:t>го воздействия</w:t>
      </w:r>
      <w:r w:rsidR="00746F76">
        <w:rPr>
          <w:sz w:val="28"/>
          <w:szCs w:val="28"/>
        </w:rPr>
        <w:t>, противоречи</w:t>
      </w:r>
      <w:r w:rsidR="00565F30">
        <w:rPr>
          <w:sz w:val="28"/>
          <w:szCs w:val="28"/>
        </w:rPr>
        <w:t xml:space="preserve">т положениям статьи 26.3-3 </w:t>
      </w:r>
      <w:r w:rsidR="00565F30" w:rsidRPr="00565F30">
        <w:rPr>
          <w:sz w:val="28"/>
          <w:szCs w:val="28"/>
        </w:rPr>
        <w:t>Федеральн</w:t>
      </w:r>
      <w:r w:rsidR="00565F30">
        <w:rPr>
          <w:sz w:val="28"/>
          <w:szCs w:val="28"/>
        </w:rPr>
        <w:t>ого</w:t>
      </w:r>
      <w:r w:rsidR="00565F30" w:rsidRPr="00565F30">
        <w:rPr>
          <w:sz w:val="28"/>
          <w:szCs w:val="28"/>
        </w:rPr>
        <w:t xml:space="preserve"> закон</w:t>
      </w:r>
      <w:r w:rsidR="00565F30">
        <w:rPr>
          <w:sz w:val="28"/>
          <w:szCs w:val="28"/>
        </w:rPr>
        <w:t>а</w:t>
      </w:r>
      <w:r w:rsidR="00746F76">
        <w:rPr>
          <w:sz w:val="28"/>
          <w:szCs w:val="28"/>
        </w:rPr>
        <w:t xml:space="preserve"> от </w:t>
      </w:r>
      <w:r w:rsidR="00565F30" w:rsidRPr="00565F30">
        <w:rPr>
          <w:sz w:val="28"/>
          <w:szCs w:val="28"/>
        </w:rPr>
        <w:t>6</w:t>
      </w:r>
      <w:r w:rsidR="00565F30">
        <w:rPr>
          <w:sz w:val="28"/>
          <w:szCs w:val="28"/>
        </w:rPr>
        <w:t xml:space="preserve"> октября </w:t>
      </w:r>
      <w:r w:rsidR="00565F30" w:rsidRPr="00565F30">
        <w:rPr>
          <w:sz w:val="28"/>
          <w:szCs w:val="28"/>
        </w:rPr>
        <w:t>1999</w:t>
      </w:r>
      <w:r w:rsidR="00565F30">
        <w:rPr>
          <w:sz w:val="28"/>
          <w:szCs w:val="28"/>
        </w:rPr>
        <w:t xml:space="preserve"> года</w:t>
      </w:r>
      <w:r w:rsidR="00565F30" w:rsidRPr="00565F30">
        <w:rPr>
          <w:sz w:val="28"/>
          <w:szCs w:val="28"/>
        </w:rPr>
        <w:t xml:space="preserve"> </w:t>
      </w:r>
      <w:r w:rsidR="00565F30">
        <w:rPr>
          <w:sz w:val="28"/>
          <w:szCs w:val="28"/>
        </w:rPr>
        <w:t>№</w:t>
      </w:r>
      <w:r w:rsidR="00565F30" w:rsidRPr="00565F30">
        <w:rPr>
          <w:sz w:val="28"/>
          <w:szCs w:val="28"/>
        </w:rPr>
        <w:t xml:space="preserve"> 184-ФЗ</w:t>
      </w:r>
      <w:r w:rsidR="00565F30">
        <w:rPr>
          <w:sz w:val="28"/>
          <w:szCs w:val="28"/>
        </w:rPr>
        <w:t xml:space="preserve"> «</w:t>
      </w:r>
      <w:r w:rsidR="00565F30" w:rsidRPr="00565F30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565F30">
        <w:rPr>
          <w:sz w:val="28"/>
          <w:szCs w:val="28"/>
        </w:rPr>
        <w:t xml:space="preserve"> субъектов Российско</w:t>
      </w:r>
      <w:r>
        <w:rPr>
          <w:sz w:val="28"/>
          <w:szCs w:val="28"/>
        </w:rPr>
        <w:t>й Федерации», по смыслу которой</w:t>
      </w:r>
      <w:r w:rsidR="00565F30">
        <w:rPr>
          <w:sz w:val="28"/>
          <w:szCs w:val="28"/>
        </w:rPr>
        <w:t xml:space="preserve"> </w:t>
      </w:r>
      <w:r w:rsidR="00565F30" w:rsidRPr="00565F30">
        <w:rPr>
          <w:sz w:val="28"/>
          <w:szCs w:val="28"/>
        </w:rPr>
        <w:t>оценка регулирующего воздействия проводится в отношении всех проектов нормативных правовых актов субъектов Российской Федерации, затрагивающих вопросы осуществления предпринимательской и инвестиционной деятельности.</w:t>
      </w:r>
      <w:r w:rsidR="00565F30">
        <w:rPr>
          <w:sz w:val="28"/>
          <w:szCs w:val="28"/>
        </w:rPr>
        <w:t xml:space="preserve"> </w:t>
      </w:r>
      <w:r w:rsidR="0061125C">
        <w:rPr>
          <w:sz w:val="28"/>
          <w:szCs w:val="28"/>
        </w:rPr>
        <w:t xml:space="preserve">Указанный вывод подтверждается </w:t>
      </w:r>
      <w:r w:rsidR="0061125C" w:rsidRPr="0061125C">
        <w:rPr>
          <w:sz w:val="28"/>
          <w:szCs w:val="28"/>
        </w:rPr>
        <w:t>Определение</w:t>
      </w:r>
      <w:r w:rsidR="0061125C">
        <w:rPr>
          <w:sz w:val="28"/>
          <w:szCs w:val="28"/>
        </w:rPr>
        <w:t>м</w:t>
      </w:r>
      <w:r w:rsidR="0061125C" w:rsidRPr="0061125C">
        <w:rPr>
          <w:sz w:val="28"/>
          <w:szCs w:val="28"/>
        </w:rPr>
        <w:t xml:space="preserve"> Верховного Суда </w:t>
      </w:r>
      <w:r>
        <w:rPr>
          <w:sz w:val="28"/>
          <w:szCs w:val="28"/>
        </w:rPr>
        <w:t>Российской Федерации</w:t>
      </w:r>
      <w:r w:rsidR="0061125C" w:rsidRPr="0061125C">
        <w:rPr>
          <w:sz w:val="28"/>
          <w:szCs w:val="28"/>
        </w:rPr>
        <w:t xml:space="preserve"> от 17</w:t>
      </w:r>
      <w:r w:rsidR="0061125C">
        <w:rPr>
          <w:sz w:val="28"/>
          <w:szCs w:val="28"/>
        </w:rPr>
        <w:t xml:space="preserve"> сентября </w:t>
      </w:r>
      <w:r w:rsidR="0061125C" w:rsidRPr="0061125C">
        <w:rPr>
          <w:sz w:val="28"/>
          <w:szCs w:val="28"/>
        </w:rPr>
        <w:t>2014</w:t>
      </w:r>
      <w:r w:rsidR="0061125C">
        <w:rPr>
          <w:sz w:val="28"/>
          <w:szCs w:val="28"/>
        </w:rPr>
        <w:t xml:space="preserve"> года </w:t>
      </w:r>
      <w:r w:rsidR="0061125C" w:rsidRPr="0061125C">
        <w:rPr>
          <w:sz w:val="28"/>
          <w:szCs w:val="28"/>
        </w:rPr>
        <w:t>N 44-АПГ14-13</w:t>
      </w:r>
      <w:r w:rsidR="0061125C">
        <w:rPr>
          <w:sz w:val="28"/>
          <w:szCs w:val="28"/>
        </w:rPr>
        <w:t xml:space="preserve"> «</w:t>
      </w:r>
      <w:r w:rsidR="0061125C" w:rsidRPr="0061125C">
        <w:rPr>
          <w:sz w:val="28"/>
          <w:szCs w:val="28"/>
        </w:rPr>
        <w:t xml:space="preserve">Об оставлении без изменения решения Пермского краевого суда от 02.06.2014, которым было удовлетворено заявление о </w:t>
      </w:r>
      <w:r w:rsidR="0061125C" w:rsidRPr="0061125C">
        <w:rPr>
          <w:sz w:val="28"/>
          <w:szCs w:val="28"/>
        </w:rPr>
        <w:lastRenderedPageBreak/>
        <w:t xml:space="preserve">признании недействующими абзаца 1 пункта 1, пунктов 2 и 5 Положения об оценке регулирующего воздействия в Пермском крае, включая порядок проведения и критерии оценки регулирующего воздействия, утвержденного </w:t>
      </w:r>
      <w:r>
        <w:rPr>
          <w:sz w:val="28"/>
          <w:szCs w:val="28"/>
        </w:rPr>
        <w:t>Указом Г</w:t>
      </w:r>
      <w:r w:rsidR="0061125C" w:rsidRPr="0061125C">
        <w:rPr>
          <w:sz w:val="28"/>
          <w:szCs w:val="28"/>
        </w:rPr>
        <w:t xml:space="preserve">убернатора Пермского края от 21.12.2012 </w:t>
      </w:r>
      <w:r w:rsidR="0061125C">
        <w:rPr>
          <w:sz w:val="28"/>
          <w:szCs w:val="28"/>
        </w:rPr>
        <w:t>№</w:t>
      </w:r>
      <w:r w:rsidR="0061125C" w:rsidRPr="0061125C">
        <w:rPr>
          <w:sz w:val="28"/>
          <w:szCs w:val="28"/>
        </w:rPr>
        <w:t xml:space="preserve"> 105</w:t>
      </w:r>
      <w:r w:rsidR="0061125C">
        <w:rPr>
          <w:sz w:val="28"/>
          <w:szCs w:val="28"/>
        </w:rPr>
        <w:t>».</w:t>
      </w:r>
    </w:p>
    <w:p w:rsidR="008F6533" w:rsidRDefault="008F6533" w:rsidP="008F65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Предусмотренный в проекте закона порядок оценки регулирующего воздействия проектов нормативных правовых актов Удмуртской Республики содержит внутренние противоречия. Так в соответствии с частью 1 статьи 2</w:t>
      </w:r>
      <w:r w:rsidR="00232D2C">
        <w:rPr>
          <w:sz w:val="28"/>
          <w:szCs w:val="28"/>
        </w:rPr>
        <w:t xml:space="preserve"> Закона Удмуртской Республики </w:t>
      </w:r>
      <w:r>
        <w:rPr>
          <w:sz w:val="28"/>
          <w:szCs w:val="28"/>
        </w:rPr>
        <w:t xml:space="preserve">в редакции проекта закона </w:t>
      </w:r>
      <w:r w:rsidR="00746F76">
        <w:rPr>
          <w:sz w:val="28"/>
          <w:szCs w:val="28"/>
        </w:rPr>
        <w:t xml:space="preserve">оценка регулирующего воздействия проектов нормативных правовых актов Удмуртской Республики </w:t>
      </w:r>
      <w:r>
        <w:rPr>
          <w:sz w:val="28"/>
          <w:szCs w:val="28"/>
        </w:rPr>
        <w:t xml:space="preserve">проводится уполномоченным органом, а часть 2 предусматривает </w:t>
      </w:r>
      <w:r w:rsidRPr="008F6533">
        <w:rPr>
          <w:sz w:val="28"/>
          <w:szCs w:val="28"/>
        </w:rPr>
        <w:t>основные этапы проведения процедуры оценки регулирующего воздействия проектов нормативных право</w:t>
      </w:r>
      <w:r>
        <w:rPr>
          <w:sz w:val="28"/>
          <w:szCs w:val="28"/>
        </w:rPr>
        <w:t xml:space="preserve">вых актов Удмуртской Республики. Однако согласно пункта 1 части 2 статьи 2 </w:t>
      </w:r>
      <w:r w:rsidR="00232D2C">
        <w:rPr>
          <w:sz w:val="28"/>
          <w:szCs w:val="28"/>
        </w:rPr>
        <w:t xml:space="preserve">и пункта 5 части 4 статьи 1 Закона Удмуртской Республики </w:t>
      </w:r>
      <w:r>
        <w:rPr>
          <w:sz w:val="28"/>
          <w:szCs w:val="28"/>
        </w:rPr>
        <w:t xml:space="preserve">в редакции проекта закона проведение </w:t>
      </w:r>
      <w:r w:rsidRPr="008F6533">
        <w:rPr>
          <w:sz w:val="28"/>
          <w:szCs w:val="28"/>
        </w:rPr>
        <w:t xml:space="preserve">публичных консультаций по проекту нормативного правового акта Удмуртской Республики </w:t>
      </w:r>
      <w:r>
        <w:rPr>
          <w:sz w:val="28"/>
          <w:szCs w:val="28"/>
        </w:rPr>
        <w:t xml:space="preserve">осуществляется </w:t>
      </w:r>
      <w:r w:rsidRPr="008F6533">
        <w:rPr>
          <w:sz w:val="28"/>
          <w:szCs w:val="28"/>
        </w:rPr>
        <w:t>его разработчиком с учетом степени регулирующего воздействия содержащихся в нем положений</w:t>
      </w:r>
      <w:r w:rsidR="00C1115B">
        <w:rPr>
          <w:sz w:val="28"/>
          <w:szCs w:val="28"/>
        </w:rPr>
        <w:t xml:space="preserve">. При этом из текста проекта закона </w:t>
      </w:r>
      <w:r w:rsidR="00746F76">
        <w:rPr>
          <w:sz w:val="28"/>
          <w:szCs w:val="28"/>
        </w:rPr>
        <w:t xml:space="preserve">не понятно </w:t>
      </w:r>
      <w:r w:rsidR="00C1115B">
        <w:rPr>
          <w:sz w:val="28"/>
          <w:szCs w:val="28"/>
        </w:rPr>
        <w:t xml:space="preserve">кто определяет степень регулирующего воздействия. Кроме того, уже на самом первом этапе </w:t>
      </w:r>
      <w:r w:rsidR="00C1115B" w:rsidRPr="008F6533">
        <w:rPr>
          <w:sz w:val="28"/>
          <w:szCs w:val="28"/>
        </w:rPr>
        <w:t>проведения процедуры оценки регулирующего воздействия</w:t>
      </w:r>
      <w:r w:rsidR="00C1115B">
        <w:rPr>
          <w:sz w:val="28"/>
          <w:szCs w:val="28"/>
        </w:rPr>
        <w:t xml:space="preserve"> при проведении публичных консультаций, разработчик должен опубликовать сводный отчет о проведении </w:t>
      </w:r>
      <w:r w:rsidR="00C1115B" w:rsidRPr="00C1115B">
        <w:rPr>
          <w:sz w:val="28"/>
          <w:szCs w:val="28"/>
        </w:rPr>
        <w:t>оценки регулирующего воздействия проекта нормативного правового акта Удмуртской Республики в информационно-телекоммуникационной сети «Интернет»</w:t>
      </w:r>
      <w:r w:rsidR="00C1115B">
        <w:rPr>
          <w:sz w:val="28"/>
          <w:szCs w:val="28"/>
        </w:rPr>
        <w:t xml:space="preserve">. </w:t>
      </w:r>
    </w:p>
    <w:p w:rsidR="0061125C" w:rsidRPr="0061125C" w:rsidRDefault="003F2989" w:rsidP="006112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Аналогичные замечания и к порядку проведения оценки регулирующего воздействия проектов муниципальных нормативных правовых актов.</w:t>
      </w:r>
    </w:p>
    <w:p w:rsidR="00E47BDB" w:rsidRDefault="00F17E77" w:rsidP="00E47B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3F2989">
        <w:rPr>
          <w:sz w:val="28"/>
          <w:szCs w:val="28"/>
        </w:rPr>
        <w:t>стать</w:t>
      </w:r>
      <w:r>
        <w:rPr>
          <w:sz w:val="28"/>
          <w:szCs w:val="28"/>
        </w:rPr>
        <w:t xml:space="preserve">ей 26.3-3 Федерального закона от </w:t>
      </w:r>
      <w:bookmarkStart w:id="0" w:name="_GoBack"/>
      <w:bookmarkEnd w:id="0"/>
      <w:r w:rsidR="003F2989" w:rsidRPr="003F2989">
        <w:rPr>
          <w:sz w:val="28"/>
          <w:szCs w:val="28"/>
        </w:rPr>
        <w:t>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E47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</w:t>
      </w:r>
      <w:r w:rsidR="00E47BDB">
        <w:rPr>
          <w:sz w:val="28"/>
          <w:szCs w:val="28"/>
        </w:rPr>
        <w:t>оценк</w:t>
      </w:r>
      <w:r>
        <w:rPr>
          <w:sz w:val="28"/>
          <w:szCs w:val="28"/>
        </w:rPr>
        <w:t>и</w:t>
      </w:r>
      <w:r w:rsidR="00E47BDB" w:rsidRPr="00E47BDB">
        <w:rPr>
          <w:sz w:val="28"/>
          <w:szCs w:val="28"/>
        </w:rPr>
        <w:t xml:space="preserve"> регулирующего воздействия </w:t>
      </w:r>
      <w:r>
        <w:rPr>
          <w:sz w:val="28"/>
          <w:szCs w:val="28"/>
        </w:rPr>
        <w:t xml:space="preserve">должно осуществляться </w:t>
      </w:r>
      <w:r w:rsidR="00E47BDB" w:rsidRPr="00E47BDB">
        <w:rPr>
          <w:sz w:val="28"/>
          <w:szCs w:val="28"/>
        </w:rPr>
        <w:t>уполномоченны</w:t>
      </w:r>
      <w:r w:rsidR="00746F76">
        <w:rPr>
          <w:sz w:val="28"/>
          <w:szCs w:val="28"/>
        </w:rPr>
        <w:t>м</w:t>
      </w:r>
      <w:r w:rsidR="00E47BDB" w:rsidRPr="00E47BDB">
        <w:rPr>
          <w:sz w:val="28"/>
          <w:szCs w:val="28"/>
        </w:rPr>
        <w:t xml:space="preserve"> орган</w:t>
      </w:r>
      <w:r w:rsidR="00746F76">
        <w:rPr>
          <w:sz w:val="28"/>
          <w:szCs w:val="28"/>
        </w:rPr>
        <w:t>ом</w:t>
      </w:r>
      <w:r w:rsidR="00E47BDB" w:rsidRPr="00E47BDB">
        <w:rPr>
          <w:sz w:val="28"/>
          <w:szCs w:val="28"/>
        </w:rPr>
        <w:t xml:space="preserve"> государственной власти субъект</w:t>
      </w:r>
      <w:r w:rsidR="00E47BDB">
        <w:rPr>
          <w:sz w:val="28"/>
          <w:szCs w:val="28"/>
        </w:rPr>
        <w:t>а</w:t>
      </w:r>
      <w:r w:rsidR="00E47BDB" w:rsidRPr="00E47BDB">
        <w:rPr>
          <w:sz w:val="28"/>
          <w:szCs w:val="28"/>
        </w:rPr>
        <w:t xml:space="preserve"> Российской </w:t>
      </w:r>
      <w:r>
        <w:rPr>
          <w:sz w:val="28"/>
          <w:szCs w:val="28"/>
        </w:rPr>
        <w:t xml:space="preserve">Федерации. В связи с изложенным, </w:t>
      </w:r>
      <w:r w:rsidR="00E47BDB">
        <w:rPr>
          <w:sz w:val="28"/>
          <w:szCs w:val="28"/>
        </w:rPr>
        <w:t xml:space="preserve">отмечаем, что </w:t>
      </w:r>
      <w:r>
        <w:rPr>
          <w:sz w:val="28"/>
          <w:szCs w:val="28"/>
        </w:rPr>
        <w:t>проектом</w:t>
      </w:r>
      <w:r w:rsidR="00E47BDB">
        <w:rPr>
          <w:sz w:val="28"/>
          <w:szCs w:val="28"/>
        </w:rPr>
        <w:t xml:space="preserve"> закона </w:t>
      </w:r>
      <w:r>
        <w:rPr>
          <w:sz w:val="28"/>
          <w:szCs w:val="28"/>
        </w:rPr>
        <w:t>к</w:t>
      </w:r>
      <w:r w:rsidR="00E47BDB">
        <w:rPr>
          <w:sz w:val="28"/>
          <w:szCs w:val="28"/>
        </w:rPr>
        <w:t xml:space="preserve"> полномочиям уполномоченного органа при проведении оценки регулирующего воздействия </w:t>
      </w:r>
      <w:r w:rsidR="00746F76">
        <w:rPr>
          <w:sz w:val="28"/>
          <w:szCs w:val="28"/>
        </w:rPr>
        <w:t xml:space="preserve">отнесена лишь </w:t>
      </w:r>
      <w:r w:rsidR="00E47BDB">
        <w:rPr>
          <w:sz w:val="28"/>
          <w:szCs w:val="28"/>
        </w:rPr>
        <w:t>подготовка заключения об оценке регулирующего воздействия</w:t>
      </w:r>
      <w:r>
        <w:rPr>
          <w:sz w:val="28"/>
          <w:szCs w:val="28"/>
        </w:rPr>
        <w:t>, а не проведение оценки регулирующего воздействия как таковой</w:t>
      </w:r>
      <w:r w:rsidR="00746F76">
        <w:rPr>
          <w:sz w:val="28"/>
          <w:szCs w:val="28"/>
        </w:rPr>
        <w:t xml:space="preserve">. </w:t>
      </w:r>
    </w:p>
    <w:p w:rsidR="00F17E77" w:rsidRDefault="00F17E77" w:rsidP="00E47B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требует доработки с учетом правил юридической техники.</w:t>
      </w:r>
    </w:p>
    <w:p w:rsidR="00F17E77" w:rsidRDefault="00F17E77" w:rsidP="00E47B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867CB" w:rsidRPr="00DD713B" w:rsidRDefault="006867CB" w:rsidP="006867CB">
      <w:pPr>
        <w:jc w:val="both"/>
        <w:rPr>
          <w:sz w:val="28"/>
          <w:szCs w:val="28"/>
        </w:rPr>
      </w:pPr>
      <w:r w:rsidRPr="00DD713B">
        <w:rPr>
          <w:sz w:val="28"/>
          <w:szCs w:val="28"/>
        </w:rPr>
        <w:t>Заместитель Руководителя Аппарата</w:t>
      </w:r>
    </w:p>
    <w:p w:rsidR="006867CB" w:rsidRPr="00DD713B" w:rsidRDefault="006867CB" w:rsidP="006867CB">
      <w:pPr>
        <w:jc w:val="both"/>
        <w:rPr>
          <w:sz w:val="28"/>
          <w:szCs w:val="28"/>
        </w:rPr>
      </w:pPr>
      <w:r w:rsidRPr="00DD713B">
        <w:rPr>
          <w:sz w:val="28"/>
          <w:szCs w:val="28"/>
        </w:rPr>
        <w:t xml:space="preserve">Государственного Совета </w:t>
      </w:r>
    </w:p>
    <w:p w:rsidR="006867CB" w:rsidRPr="00DD713B" w:rsidRDefault="006867CB" w:rsidP="006867CB">
      <w:pPr>
        <w:jc w:val="both"/>
        <w:rPr>
          <w:sz w:val="28"/>
          <w:szCs w:val="28"/>
        </w:rPr>
      </w:pPr>
      <w:r w:rsidRPr="00DD713B">
        <w:rPr>
          <w:sz w:val="28"/>
          <w:szCs w:val="28"/>
        </w:rPr>
        <w:t xml:space="preserve">Удмуртской Республики – </w:t>
      </w:r>
    </w:p>
    <w:p w:rsidR="006867CB" w:rsidRPr="00DD713B" w:rsidRDefault="006867CB" w:rsidP="006867CB">
      <w:pPr>
        <w:jc w:val="both"/>
        <w:rPr>
          <w:sz w:val="22"/>
          <w:szCs w:val="22"/>
        </w:rPr>
      </w:pPr>
      <w:proofErr w:type="gramStart"/>
      <w:r w:rsidRPr="00DD713B">
        <w:rPr>
          <w:sz w:val="28"/>
        </w:rPr>
        <w:t>начальник</w:t>
      </w:r>
      <w:proofErr w:type="gramEnd"/>
      <w:r w:rsidRPr="00DD713B">
        <w:rPr>
          <w:sz w:val="28"/>
        </w:rPr>
        <w:t xml:space="preserve"> Правового управления</w:t>
      </w:r>
      <w:r w:rsidRPr="00DD713B">
        <w:rPr>
          <w:sz w:val="28"/>
        </w:rPr>
        <w:tab/>
      </w:r>
      <w:r w:rsidRPr="00DD713B">
        <w:rPr>
          <w:sz w:val="28"/>
        </w:rPr>
        <w:tab/>
        <w:t xml:space="preserve">                                   Н.А. Миронов</w:t>
      </w:r>
    </w:p>
    <w:p w:rsidR="006867CB" w:rsidRDefault="006867CB" w:rsidP="006867CB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6867CB" w:rsidRPr="00DD713B" w:rsidRDefault="006867CB" w:rsidP="006867CB">
      <w:pPr>
        <w:widowControl w:val="0"/>
        <w:autoSpaceDE w:val="0"/>
        <w:autoSpaceDN w:val="0"/>
        <w:adjustRightInd w:val="0"/>
        <w:rPr>
          <w:sz w:val="18"/>
          <w:szCs w:val="18"/>
        </w:rPr>
      </w:pPr>
      <w:proofErr w:type="spellStart"/>
      <w:r w:rsidRPr="00DD713B">
        <w:rPr>
          <w:sz w:val="18"/>
          <w:szCs w:val="18"/>
        </w:rPr>
        <w:t>О.Г.Петрова</w:t>
      </w:r>
      <w:proofErr w:type="spellEnd"/>
    </w:p>
    <w:p w:rsidR="006867CB" w:rsidRPr="00DD713B" w:rsidRDefault="006867CB" w:rsidP="006867CB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DD713B">
        <w:rPr>
          <w:sz w:val="18"/>
          <w:szCs w:val="18"/>
        </w:rPr>
        <w:t>913188</w:t>
      </w:r>
    </w:p>
    <w:sectPr w:rsidR="006867CB" w:rsidRPr="00DD713B" w:rsidSect="000638DA">
      <w:headerReference w:type="first" r:id="rId7"/>
      <w:pgSz w:w="11906" w:h="16838" w:code="9"/>
      <w:pgMar w:top="1382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E5E" w:rsidRDefault="004C2E5E">
      <w:r>
        <w:separator/>
      </w:r>
    </w:p>
  </w:endnote>
  <w:endnote w:type="continuationSeparator" w:id="0">
    <w:p w:rsidR="004C2E5E" w:rsidRDefault="004C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E5E" w:rsidRDefault="004C2E5E">
      <w:r>
        <w:separator/>
      </w:r>
    </w:p>
  </w:footnote>
  <w:footnote w:type="continuationSeparator" w:id="0">
    <w:p w:rsidR="004C2E5E" w:rsidRDefault="004C2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4C2E5E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4C2E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723BA"/>
    <w:rsid w:val="000B61FF"/>
    <w:rsid w:val="001D069B"/>
    <w:rsid w:val="001E5E5D"/>
    <w:rsid w:val="001F7BFD"/>
    <w:rsid w:val="00226667"/>
    <w:rsid w:val="00232D2C"/>
    <w:rsid w:val="0023644D"/>
    <w:rsid w:val="002A7BBF"/>
    <w:rsid w:val="002D1277"/>
    <w:rsid w:val="002E209D"/>
    <w:rsid w:val="0031755B"/>
    <w:rsid w:val="003228A7"/>
    <w:rsid w:val="003F2989"/>
    <w:rsid w:val="00435C74"/>
    <w:rsid w:val="00467ADE"/>
    <w:rsid w:val="004C2E5E"/>
    <w:rsid w:val="004E7626"/>
    <w:rsid w:val="005029E6"/>
    <w:rsid w:val="00565F30"/>
    <w:rsid w:val="005A79FB"/>
    <w:rsid w:val="0061125C"/>
    <w:rsid w:val="006867CB"/>
    <w:rsid w:val="006A216C"/>
    <w:rsid w:val="006F6D34"/>
    <w:rsid w:val="00720EC1"/>
    <w:rsid w:val="00741D6A"/>
    <w:rsid w:val="00746F76"/>
    <w:rsid w:val="007C27C5"/>
    <w:rsid w:val="007F55A0"/>
    <w:rsid w:val="008635F4"/>
    <w:rsid w:val="008F6533"/>
    <w:rsid w:val="00983BD5"/>
    <w:rsid w:val="009A363F"/>
    <w:rsid w:val="009D1F5D"/>
    <w:rsid w:val="009D64E3"/>
    <w:rsid w:val="009F20B1"/>
    <w:rsid w:val="00A556DC"/>
    <w:rsid w:val="00A9110F"/>
    <w:rsid w:val="00B357DA"/>
    <w:rsid w:val="00B95DF3"/>
    <w:rsid w:val="00BB0187"/>
    <w:rsid w:val="00BF627D"/>
    <w:rsid w:val="00C00B02"/>
    <w:rsid w:val="00C1115B"/>
    <w:rsid w:val="00C37C4D"/>
    <w:rsid w:val="00C573CA"/>
    <w:rsid w:val="00CA3239"/>
    <w:rsid w:val="00D92D91"/>
    <w:rsid w:val="00DE6864"/>
    <w:rsid w:val="00E035DD"/>
    <w:rsid w:val="00E371FC"/>
    <w:rsid w:val="00E47BDB"/>
    <w:rsid w:val="00F17E77"/>
    <w:rsid w:val="00F51D48"/>
    <w:rsid w:val="00F975C5"/>
    <w:rsid w:val="00FC7F9C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CE217-3DB2-45C7-8139-D00B53D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FD1EAF"/>
    <w:pPr>
      <w:ind w:firstLine="851"/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unhideWhenUsed/>
    <w:rsid w:val="00565F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729D4-331D-47D3-971F-943B35E7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25</cp:revision>
  <cp:lastPrinted>2015-09-17T09:59:00Z</cp:lastPrinted>
  <dcterms:created xsi:type="dcterms:W3CDTF">2014-09-04T05:45:00Z</dcterms:created>
  <dcterms:modified xsi:type="dcterms:W3CDTF">2016-06-02T05:26:00Z</dcterms:modified>
</cp:coreProperties>
</file>