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6B" w:rsidRPr="001269F3" w:rsidRDefault="00FA1A6B" w:rsidP="002564BF">
      <w:pPr>
        <w:pStyle w:val="1"/>
        <w:rPr>
          <w:bCs w:val="0"/>
          <w:sz w:val="27"/>
          <w:szCs w:val="27"/>
        </w:rPr>
      </w:pPr>
      <w:r w:rsidRPr="001269F3">
        <w:rPr>
          <w:bCs w:val="0"/>
          <w:sz w:val="27"/>
          <w:szCs w:val="27"/>
        </w:rPr>
        <w:t>ПОЯСНИТЕЛЬНАЯ ЗАПИСКА</w:t>
      </w:r>
    </w:p>
    <w:p w:rsidR="00FA1A6B" w:rsidRPr="001269F3" w:rsidRDefault="00FA1A6B" w:rsidP="002564BF">
      <w:pPr>
        <w:jc w:val="center"/>
        <w:rPr>
          <w:sz w:val="27"/>
          <w:szCs w:val="27"/>
        </w:rPr>
      </w:pPr>
    </w:p>
    <w:p w:rsidR="009B0B5D" w:rsidRPr="001269F3" w:rsidRDefault="009B0B5D" w:rsidP="00CE4292">
      <w:pPr>
        <w:jc w:val="center"/>
        <w:rPr>
          <w:rFonts w:eastAsia="NotDefSpecial"/>
          <w:sz w:val="27"/>
          <w:szCs w:val="27"/>
        </w:rPr>
      </w:pPr>
      <w:r w:rsidRPr="001269F3">
        <w:rPr>
          <w:sz w:val="27"/>
          <w:szCs w:val="27"/>
        </w:rPr>
        <w:t xml:space="preserve">к проекту </w:t>
      </w:r>
      <w:r w:rsidRPr="001269F3">
        <w:rPr>
          <w:rFonts w:eastAsia="NotDefSpecial"/>
          <w:sz w:val="27"/>
          <w:szCs w:val="27"/>
        </w:rPr>
        <w:t xml:space="preserve">закона Удмуртской Республики «О внесении изменений в </w:t>
      </w:r>
      <w:r w:rsidR="00875EF9" w:rsidRPr="001269F3">
        <w:rPr>
          <w:rFonts w:eastAsia="NotDefSpecial"/>
          <w:sz w:val="27"/>
          <w:szCs w:val="27"/>
        </w:rPr>
        <w:t>отдельные</w:t>
      </w:r>
      <w:r w:rsidRPr="001269F3">
        <w:rPr>
          <w:rFonts w:eastAsia="NotDefSpecial"/>
          <w:sz w:val="27"/>
          <w:szCs w:val="27"/>
        </w:rPr>
        <w:t xml:space="preserve"> законы Удмуртской Республики»</w:t>
      </w:r>
    </w:p>
    <w:p w:rsidR="009B0B5D" w:rsidRDefault="009B0B5D" w:rsidP="009B0B5D">
      <w:pPr>
        <w:tabs>
          <w:tab w:val="left" w:pos="1080"/>
        </w:tabs>
        <w:ind w:firstLine="709"/>
        <w:jc w:val="center"/>
        <w:rPr>
          <w:sz w:val="28"/>
          <w:szCs w:val="28"/>
        </w:rPr>
      </w:pPr>
    </w:p>
    <w:p w:rsidR="001269F3" w:rsidRPr="002D0684" w:rsidRDefault="001269F3" w:rsidP="009B0B5D">
      <w:pPr>
        <w:tabs>
          <w:tab w:val="left" w:pos="1080"/>
        </w:tabs>
        <w:ind w:firstLine="709"/>
        <w:jc w:val="center"/>
        <w:rPr>
          <w:sz w:val="28"/>
          <w:szCs w:val="28"/>
        </w:rPr>
      </w:pPr>
    </w:p>
    <w:p w:rsidR="009B0B5D" w:rsidRPr="001269F3" w:rsidRDefault="009B0B5D" w:rsidP="002D0684">
      <w:pPr>
        <w:autoSpaceDE w:val="0"/>
        <w:autoSpaceDN w:val="0"/>
        <w:adjustRightInd w:val="0"/>
        <w:ind w:firstLine="709"/>
        <w:jc w:val="both"/>
        <w:rPr>
          <w:sz w:val="27"/>
          <w:szCs w:val="27"/>
        </w:rPr>
      </w:pPr>
      <w:r w:rsidRPr="001269F3">
        <w:rPr>
          <w:sz w:val="27"/>
          <w:szCs w:val="27"/>
        </w:rPr>
        <w:t xml:space="preserve">Проект </w:t>
      </w:r>
      <w:r w:rsidRPr="001269F3">
        <w:rPr>
          <w:rFonts w:eastAsia="NotDefSpecial"/>
          <w:sz w:val="27"/>
          <w:szCs w:val="27"/>
        </w:rPr>
        <w:t xml:space="preserve">закона Удмуртской Республики «О внесении изменений в </w:t>
      </w:r>
      <w:r w:rsidR="00875EF9" w:rsidRPr="001269F3">
        <w:rPr>
          <w:rFonts w:eastAsia="NotDefSpecial"/>
          <w:sz w:val="27"/>
          <w:szCs w:val="27"/>
        </w:rPr>
        <w:t>отдельные</w:t>
      </w:r>
      <w:r w:rsidRPr="001269F3">
        <w:rPr>
          <w:rFonts w:eastAsia="NotDefSpecial"/>
          <w:sz w:val="27"/>
          <w:szCs w:val="27"/>
        </w:rPr>
        <w:t xml:space="preserve"> законы Удмуртской Республики» (далее – проект закона) </w:t>
      </w:r>
      <w:r w:rsidRPr="001269F3">
        <w:rPr>
          <w:sz w:val="27"/>
          <w:szCs w:val="27"/>
        </w:rPr>
        <w:t xml:space="preserve">разработан </w:t>
      </w:r>
      <w:r w:rsidR="008B4706" w:rsidRPr="001269F3">
        <w:rPr>
          <w:sz w:val="27"/>
          <w:szCs w:val="27"/>
        </w:rPr>
        <w:t xml:space="preserve">на </w:t>
      </w:r>
      <w:r w:rsidR="00E7294A">
        <w:rPr>
          <w:sz w:val="27"/>
          <w:szCs w:val="27"/>
        </w:rPr>
        <w:t>основе</w:t>
      </w:r>
      <w:r w:rsidR="008B4706" w:rsidRPr="001269F3">
        <w:rPr>
          <w:sz w:val="27"/>
          <w:szCs w:val="27"/>
        </w:rPr>
        <w:t xml:space="preserve"> проекта закона Удмуртской Республики</w:t>
      </w:r>
      <w:r w:rsidR="00D32BB2" w:rsidRPr="001269F3">
        <w:rPr>
          <w:sz w:val="27"/>
          <w:szCs w:val="27"/>
        </w:rPr>
        <w:t xml:space="preserve"> «О внесении изменений в некоторые законы Удмуртской Республики и признании утратившими силу некоторых законов Удмуртской Республики», внесённ</w:t>
      </w:r>
      <w:r w:rsidR="00822F84">
        <w:rPr>
          <w:sz w:val="27"/>
          <w:szCs w:val="27"/>
        </w:rPr>
        <w:t>ого</w:t>
      </w:r>
      <w:r w:rsidR="00D32BB2" w:rsidRPr="001269F3">
        <w:rPr>
          <w:sz w:val="27"/>
          <w:szCs w:val="27"/>
        </w:rPr>
        <w:t xml:space="preserve"> Правительством Удмуртской Республики</w:t>
      </w:r>
      <w:r w:rsidR="00822F84">
        <w:rPr>
          <w:sz w:val="27"/>
          <w:szCs w:val="27"/>
        </w:rPr>
        <w:t xml:space="preserve"> в Государственный Совет Удмуртской Республики</w:t>
      </w:r>
      <w:r w:rsidR="00D32BB2" w:rsidRPr="001269F3">
        <w:rPr>
          <w:sz w:val="27"/>
          <w:szCs w:val="27"/>
        </w:rPr>
        <w:t xml:space="preserve">, в целях доработки которого </w:t>
      </w:r>
      <w:r w:rsidR="005C764E" w:rsidRPr="001269F3">
        <w:rPr>
          <w:sz w:val="27"/>
          <w:szCs w:val="27"/>
        </w:rPr>
        <w:t xml:space="preserve">в соответствии с  распоряжением Председателя Государственного Совета Удмуртской Республики от 01 ноября 2018 года </w:t>
      </w:r>
      <w:r w:rsidR="00822F84">
        <w:rPr>
          <w:sz w:val="27"/>
          <w:szCs w:val="27"/>
        </w:rPr>
        <w:t xml:space="preserve">                </w:t>
      </w:r>
      <w:r w:rsidR="005C764E" w:rsidRPr="001269F3">
        <w:rPr>
          <w:sz w:val="27"/>
          <w:szCs w:val="27"/>
        </w:rPr>
        <w:t xml:space="preserve">№ </w:t>
      </w:r>
      <w:r w:rsidR="0066635B" w:rsidRPr="001269F3">
        <w:rPr>
          <w:sz w:val="27"/>
          <w:szCs w:val="27"/>
        </w:rPr>
        <w:t xml:space="preserve">232-РП </w:t>
      </w:r>
      <w:r w:rsidR="00D32BB2" w:rsidRPr="001269F3">
        <w:rPr>
          <w:sz w:val="27"/>
          <w:szCs w:val="27"/>
        </w:rPr>
        <w:t>была</w:t>
      </w:r>
      <w:r w:rsidR="005C764E" w:rsidRPr="001269F3">
        <w:rPr>
          <w:sz w:val="27"/>
          <w:szCs w:val="27"/>
        </w:rPr>
        <w:t xml:space="preserve"> </w:t>
      </w:r>
      <w:r w:rsidR="00D32BB2" w:rsidRPr="001269F3">
        <w:rPr>
          <w:sz w:val="27"/>
          <w:szCs w:val="27"/>
        </w:rPr>
        <w:t>с</w:t>
      </w:r>
      <w:r w:rsidR="005C764E" w:rsidRPr="001269F3">
        <w:rPr>
          <w:sz w:val="27"/>
          <w:szCs w:val="27"/>
        </w:rPr>
        <w:t>формирова</w:t>
      </w:r>
      <w:r w:rsidR="00D32BB2" w:rsidRPr="001269F3">
        <w:rPr>
          <w:sz w:val="27"/>
          <w:szCs w:val="27"/>
        </w:rPr>
        <w:t xml:space="preserve">на рабочая группа, </w:t>
      </w:r>
      <w:r w:rsidR="0066635B" w:rsidRPr="001269F3">
        <w:rPr>
          <w:sz w:val="27"/>
          <w:szCs w:val="27"/>
        </w:rPr>
        <w:t>в состав которой вошли</w:t>
      </w:r>
      <w:r w:rsidR="00F4234E" w:rsidRPr="001269F3">
        <w:rPr>
          <w:sz w:val="27"/>
          <w:szCs w:val="27"/>
        </w:rPr>
        <w:t xml:space="preserve"> Председатель Государственного Совета Удмуртской Республики А.М.Прас</w:t>
      </w:r>
      <w:r w:rsidR="001269F3">
        <w:rPr>
          <w:sz w:val="27"/>
          <w:szCs w:val="27"/>
        </w:rPr>
        <w:t xml:space="preserve">олов, </w:t>
      </w:r>
      <w:r w:rsidR="00F4234E" w:rsidRPr="001269F3">
        <w:rPr>
          <w:sz w:val="27"/>
          <w:szCs w:val="27"/>
        </w:rPr>
        <w:t>Председатель Правительства Удмуртской Республики Я.В.Семенов,</w:t>
      </w:r>
      <w:r w:rsidR="0066635B" w:rsidRPr="001269F3">
        <w:rPr>
          <w:sz w:val="27"/>
          <w:szCs w:val="27"/>
        </w:rPr>
        <w:t xml:space="preserve"> депутаты Государственного Совета Удмуртской Республики и члены Правительства Удмуртской Республики</w:t>
      </w:r>
      <w:r w:rsidR="00F4234E" w:rsidRPr="001269F3">
        <w:rPr>
          <w:sz w:val="27"/>
          <w:szCs w:val="27"/>
        </w:rPr>
        <w:t>.</w:t>
      </w:r>
    </w:p>
    <w:p w:rsidR="00115F89" w:rsidRPr="001269F3" w:rsidRDefault="009B0B5D" w:rsidP="002D0684">
      <w:pPr>
        <w:ind w:firstLine="709"/>
        <w:jc w:val="both"/>
        <w:rPr>
          <w:sz w:val="27"/>
          <w:szCs w:val="27"/>
        </w:rPr>
      </w:pPr>
      <w:r w:rsidRPr="001269F3">
        <w:rPr>
          <w:sz w:val="27"/>
          <w:szCs w:val="27"/>
        </w:rPr>
        <w:t xml:space="preserve">Проектом закона </w:t>
      </w:r>
      <w:r w:rsidR="00D50B2E">
        <w:rPr>
          <w:sz w:val="27"/>
          <w:szCs w:val="27"/>
        </w:rPr>
        <w:t>предлагается внести</w:t>
      </w:r>
      <w:r w:rsidRPr="001269F3">
        <w:rPr>
          <w:sz w:val="27"/>
          <w:szCs w:val="27"/>
        </w:rPr>
        <w:t xml:space="preserve"> изменения </w:t>
      </w:r>
      <w:r w:rsidR="009F22DF" w:rsidRPr="001269F3">
        <w:rPr>
          <w:sz w:val="27"/>
          <w:szCs w:val="27"/>
        </w:rPr>
        <w:t>в Закон Удмуртской Республики от 27 ноября 2003 года № 55-РЗ «О налоге на имущество организаций в Удмуртской Республике»</w:t>
      </w:r>
      <w:r w:rsidR="00971F95" w:rsidRPr="001269F3">
        <w:rPr>
          <w:sz w:val="27"/>
          <w:szCs w:val="27"/>
        </w:rPr>
        <w:t xml:space="preserve"> (далее – Закон УР № 55-РЗ)</w:t>
      </w:r>
      <w:r w:rsidR="001269F3" w:rsidRPr="001269F3">
        <w:rPr>
          <w:sz w:val="27"/>
          <w:szCs w:val="27"/>
        </w:rPr>
        <w:t xml:space="preserve"> и в Закон Удмуртской Республики от 27 ноября 2002 года № 63-РЗ «О транспортном налоге в Удмуртской Республике» (далее – Закон УР № 63-РЗ)</w:t>
      </w:r>
      <w:r w:rsidR="00971F95" w:rsidRPr="001269F3">
        <w:rPr>
          <w:sz w:val="27"/>
          <w:szCs w:val="27"/>
        </w:rPr>
        <w:t>.</w:t>
      </w:r>
      <w:r w:rsidR="00CA048E" w:rsidRPr="001269F3">
        <w:rPr>
          <w:sz w:val="27"/>
          <w:szCs w:val="27"/>
        </w:rPr>
        <w:t xml:space="preserve"> </w:t>
      </w:r>
    </w:p>
    <w:p w:rsidR="001269F3" w:rsidRPr="001269F3" w:rsidRDefault="00971F95" w:rsidP="002D0684">
      <w:pPr>
        <w:ind w:firstLine="709"/>
        <w:jc w:val="both"/>
        <w:rPr>
          <w:sz w:val="27"/>
          <w:szCs w:val="27"/>
        </w:rPr>
      </w:pPr>
      <w:r w:rsidRPr="001269F3">
        <w:rPr>
          <w:sz w:val="27"/>
          <w:szCs w:val="27"/>
        </w:rPr>
        <w:t>Зак</w:t>
      </w:r>
      <w:r w:rsidR="00115F89" w:rsidRPr="001269F3">
        <w:rPr>
          <w:sz w:val="27"/>
          <w:szCs w:val="27"/>
        </w:rPr>
        <w:t xml:space="preserve">онопроектом предлагается </w:t>
      </w:r>
      <w:r w:rsidR="001269F3" w:rsidRPr="001269F3">
        <w:rPr>
          <w:sz w:val="27"/>
          <w:szCs w:val="27"/>
        </w:rPr>
        <w:t xml:space="preserve">внести следующие изменения в Закон УР </w:t>
      </w:r>
      <w:r w:rsidR="00D50B2E">
        <w:rPr>
          <w:sz w:val="27"/>
          <w:szCs w:val="27"/>
        </w:rPr>
        <w:t xml:space="preserve">    </w:t>
      </w:r>
      <w:r w:rsidR="001269F3" w:rsidRPr="001269F3">
        <w:rPr>
          <w:sz w:val="27"/>
          <w:szCs w:val="27"/>
        </w:rPr>
        <w:t>№ 55-РЗ.</w:t>
      </w:r>
    </w:p>
    <w:p w:rsidR="00115F89" w:rsidRPr="001269F3" w:rsidRDefault="001269F3" w:rsidP="002D0684">
      <w:pPr>
        <w:ind w:firstLine="709"/>
        <w:jc w:val="both"/>
        <w:rPr>
          <w:sz w:val="27"/>
          <w:szCs w:val="27"/>
        </w:rPr>
      </w:pPr>
      <w:r w:rsidRPr="001269F3">
        <w:rPr>
          <w:sz w:val="27"/>
          <w:szCs w:val="27"/>
        </w:rPr>
        <w:t>1. Р</w:t>
      </w:r>
      <w:r w:rsidR="00115F89" w:rsidRPr="001269F3">
        <w:rPr>
          <w:sz w:val="27"/>
          <w:szCs w:val="27"/>
        </w:rPr>
        <w:t>асширить перечень объектов недвижимости, налогообложение которых будет осуществляться исходя из кадастровой стоимости, за счёт налогообложения:</w:t>
      </w:r>
    </w:p>
    <w:p w:rsidR="00115F89" w:rsidRPr="001269F3" w:rsidRDefault="00115F89" w:rsidP="002D0684">
      <w:pPr>
        <w:ind w:firstLine="709"/>
        <w:jc w:val="both"/>
        <w:rPr>
          <w:sz w:val="27"/>
          <w:szCs w:val="27"/>
        </w:rPr>
      </w:pPr>
      <w:r w:rsidRPr="001269F3">
        <w:rPr>
          <w:sz w:val="27"/>
          <w:szCs w:val="27"/>
        </w:rPr>
        <w:t>1) административно-деловых центров и торговых центров (комплексов) площадью менее 1000 кв. м и всех помещений в них вне зависимости от особенностей их использования;</w:t>
      </w:r>
    </w:p>
    <w:p w:rsidR="00115F89" w:rsidRPr="001269F3" w:rsidRDefault="00115F89" w:rsidP="002D0684">
      <w:pPr>
        <w:ind w:firstLine="709"/>
        <w:jc w:val="both"/>
        <w:rPr>
          <w:sz w:val="27"/>
          <w:szCs w:val="27"/>
        </w:rPr>
      </w:pPr>
      <w:r w:rsidRPr="001269F3">
        <w:rPr>
          <w:sz w:val="27"/>
          <w:szCs w:val="27"/>
        </w:rPr>
        <w:t>2) нежилых помещений, назначение, разрешенное использование которых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таких объектов;</w:t>
      </w:r>
    </w:p>
    <w:p w:rsidR="00115F89" w:rsidRPr="001269F3" w:rsidRDefault="00115F89" w:rsidP="002D0684">
      <w:pPr>
        <w:ind w:firstLine="709"/>
        <w:jc w:val="both"/>
        <w:rPr>
          <w:sz w:val="27"/>
          <w:szCs w:val="27"/>
        </w:rPr>
      </w:pPr>
      <w:r w:rsidRPr="001269F3">
        <w:rPr>
          <w:sz w:val="27"/>
          <w:szCs w:val="27"/>
        </w:rPr>
        <w:t>3) жилых домов и жилых помещений, не учитываемых на балансе в качестве объектов основных средств (так называемых товарных квартир).</w:t>
      </w:r>
    </w:p>
    <w:p w:rsidR="00115F89" w:rsidRPr="001269F3" w:rsidRDefault="00115F89" w:rsidP="002D0684">
      <w:pPr>
        <w:ind w:firstLine="709"/>
        <w:jc w:val="both"/>
        <w:rPr>
          <w:sz w:val="27"/>
          <w:szCs w:val="27"/>
        </w:rPr>
      </w:pPr>
      <w:r w:rsidRPr="001269F3">
        <w:rPr>
          <w:sz w:val="27"/>
          <w:szCs w:val="27"/>
        </w:rPr>
        <w:t>При этом, в целях постепенного увеличения налоговой нагрузки по объектам, включаемым в перечень объектов недвижимости с налогообложением исходя из кадастровой стоимости, предлагается установить льготные налоговые ставки в следующих размерах:</w:t>
      </w:r>
    </w:p>
    <w:p w:rsidR="00115F89" w:rsidRPr="001269F3" w:rsidRDefault="00115F89" w:rsidP="002D0684">
      <w:pPr>
        <w:ind w:firstLine="709"/>
        <w:jc w:val="both"/>
        <w:rPr>
          <w:sz w:val="27"/>
          <w:szCs w:val="27"/>
        </w:rPr>
      </w:pPr>
      <w:r w:rsidRPr="001269F3">
        <w:rPr>
          <w:sz w:val="27"/>
          <w:szCs w:val="27"/>
        </w:rPr>
        <w:t>1) в отношении административно-деловых центров и торговых центров (комплексов) общей площадью не превышающей 1000 кв.метров и помещений в них</w:t>
      </w:r>
      <w:r w:rsidR="00C66B09">
        <w:rPr>
          <w:sz w:val="27"/>
          <w:szCs w:val="27"/>
        </w:rPr>
        <w:t xml:space="preserve">, </w:t>
      </w:r>
      <w:r w:rsidR="00C66B09" w:rsidRPr="00C66B09">
        <w:rPr>
          <w:sz w:val="27"/>
          <w:szCs w:val="27"/>
        </w:rPr>
        <w:t xml:space="preserve">в отношении нежилых помещений, назначение, разрешенное использование или наименование которых в соответствии со сведениями, </w:t>
      </w:r>
      <w:r w:rsidR="00C66B09" w:rsidRPr="00C66B09">
        <w:rPr>
          <w:sz w:val="27"/>
          <w:szCs w:val="27"/>
        </w:rPr>
        <w:lastRenderedPageBreak/>
        <w:t>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расположенных вне административно-деловых центров и торговых центров (комплексов)</w:t>
      </w:r>
      <w:bookmarkStart w:id="0" w:name="_GoBack"/>
      <w:bookmarkEnd w:id="0"/>
      <w:r w:rsidRPr="001269F3">
        <w:rPr>
          <w:sz w:val="27"/>
          <w:szCs w:val="27"/>
        </w:rPr>
        <w:t>:</w:t>
      </w:r>
    </w:p>
    <w:p w:rsidR="00115F89" w:rsidRPr="001269F3" w:rsidRDefault="00115F89" w:rsidP="002D0684">
      <w:pPr>
        <w:ind w:firstLine="709"/>
        <w:jc w:val="both"/>
        <w:rPr>
          <w:sz w:val="27"/>
          <w:szCs w:val="27"/>
        </w:rPr>
      </w:pPr>
      <w:r w:rsidRPr="001269F3">
        <w:rPr>
          <w:sz w:val="27"/>
          <w:szCs w:val="27"/>
        </w:rPr>
        <w:t>0,6 процента в 2019 году;</w:t>
      </w:r>
    </w:p>
    <w:p w:rsidR="00115F89" w:rsidRPr="001269F3" w:rsidRDefault="00115F89" w:rsidP="002D0684">
      <w:pPr>
        <w:ind w:firstLine="709"/>
        <w:jc w:val="both"/>
        <w:rPr>
          <w:sz w:val="27"/>
          <w:szCs w:val="27"/>
        </w:rPr>
      </w:pPr>
      <w:r w:rsidRPr="001269F3">
        <w:rPr>
          <w:sz w:val="27"/>
          <w:szCs w:val="27"/>
        </w:rPr>
        <w:t>0,9 процента в 2020 году;</w:t>
      </w:r>
    </w:p>
    <w:p w:rsidR="00115F89" w:rsidRPr="001269F3" w:rsidRDefault="00115F89" w:rsidP="002D0684">
      <w:pPr>
        <w:ind w:firstLine="709"/>
        <w:jc w:val="both"/>
        <w:rPr>
          <w:sz w:val="27"/>
          <w:szCs w:val="27"/>
        </w:rPr>
      </w:pPr>
      <w:r w:rsidRPr="001269F3">
        <w:rPr>
          <w:sz w:val="27"/>
          <w:szCs w:val="27"/>
        </w:rPr>
        <w:t>1,2 процента в 2021 году;</w:t>
      </w:r>
    </w:p>
    <w:p w:rsidR="00115F89" w:rsidRPr="001269F3" w:rsidRDefault="00115F89" w:rsidP="002D0684">
      <w:pPr>
        <w:ind w:firstLine="709"/>
        <w:jc w:val="both"/>
        <w:rPr>
          <w:sz w:val="27"/>
          <w:szCs w:val="27"/>
        </w:rPr>
      </w:pPr>
      <w:r w:rsidRPr="001269F3">
        <w:rPr>
          <w:sz w:val="27"/>
          <w:szCs w:val="27"/>
        </w:rPr>
        <w:t>1,5 процента в 2022 году;</w:t>
      </w:r>
    </w:p>
    <w:p w:rsidR="00115F89" w:rsidRPr="001269F3" w:rsidRDefault="00115F89" w:rsidP="002D0684">
      <w:pPr>
        <w:ind w:firstLine="709"/>
        <w:jc w:val="both"/>
        <w:rPr>
          <w:sz w:val="27"/>
          <w:szCs w:val="27"/>
        </w:rPr>
      </w:pPr>
      <w:r w:rsidRPr="001269F3">
        <w:rPr>
          <w:sz w:val="27"/>
          <w:szCs w:val="27"/>
        </w:rPr>
        <w:t>2 процента в 2023 году и последующих годах;</w:t>
      </w:r>
    </w:p>
    <w:p w:rsidR="00115F89" w:rsidRPr="001269F3" w:rsidRDefault="00115F89" w:rsidP="002D0684">
      <w:pPr>
        <w:ind w:firstLine="709"/>
        <w:jc w:val="both"/>
        <w:rPr>
          <w:sz w:val="27"/>
          <w:szCs w:val="27"/>
        </w:rPr>
      </w:pPr>
      <w:r w:rsidRPr="001269F3">
        <w:rPr>
          <w:sz w:val="27"/>
          <w:szCs w:val="27"/>
        </w:rPr>
        <w:t xml:space="preserve">2) в отношении административно-деловых центров и торговых центров (комплексов) общей площадью не превышающей 1000 кв.метров и помещений в них, в отношении нежилых помещений,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расположенных в сельских населённых пунктах с численностью населения менее 3 тысяч человек:  </w:t>
      </w:r>
    </w:p>
    <w:p w:rsidR="00115F89" w:rsidRPr="001269F3" w:rsidRDefault="00115F89" w:rsidP="002D0684">
      <w:pPr>
        <w:ind w:firstLine="709"/>
        <w:jc w:val="both"/>
        <w:rPr>
          <w:sz w:val="27"/>
          <w:szCs w:val="27"/>
        </w:rPr>
      </w:pPr>
      <w:r w:rsidRPr="001269F3">
        <w:rPr>
          <w:sz w:val="27"/>
          <w:szCs w:val="27"/>
        </w:rPr>
        <w:t>0,1 процента в 2019 году;</w:t>
      </w:r>
    </w:p>
    <w:p w:rsidR="00115F89" w:rsidRPr="001269F3" w:rsidRDefault="00115F89" w:rsidP="002D0684">
      <w:pPr>
        <w:ind w:firstLine="709"/>
        <w:jc w:val="both"/>
        <w:rPr>
          <w:sz w:val="27"/>
          <w:szCs w:val="27"/>
        </w:rPr>
      </w:pPr>
      <w:r w:rsidRPr="001269F3">
        <w:rPr>
          <w:sz w:val="27"/>
          <w:szCs w:val="27"/>
        </w:rPr>
        <w:t>0,4 процента в 2020 году;</w:t>
      </w:r>
    </w:p>
    <w:p w:rsidR="00115F89" w:rsidRPr="001269F3" w:rsidRDefault="00115F89" w:rsidP="002D0684">
      <w:pPr>
        <w:ind w:firstLine="709"/>
        <w:jc w:val="both"/>
        <w:rPr>
          <w:sz w:val="27"/>
          <w:szCs w:val="27"/>
        </w:rPr>
      </w:pPr>
      <w:r w:rsidRPr="001269F3">
        <w:rPr>
          <w:sz w:val="27"/>
          <w:szCs w:val="27"/>
        </w:rPr>
        <w:t>0,7 процента в 2021 году;</w:t>
      </w:r>
    </w:p>
    <w:p w:rsidR="00115F89" w:rsidRPr="001269F3" w:rsidRDefault="00115F89" w:rsidP="002D0684">
      <w:pPr>
        <w:ind w:firstLine="709"/>
        <w:jc w:val="both"/>
        <w:rPr>
          <w:sz w:val="27"/>
          <w:szCs w:val="27"/>
        </w:rPr>
      </w:pPr>
      <w:r w:rsidRPr="001269F3">
        <w:rPr>
          <w:sz w:val="27"/>
          <w:szCs w:val="27"/>
        </w:rPr>
        <w:t>1 процент в 2022 году и последующих годах;</w:t>
      </w:r>
    </w:p>
    <w:p w:rsidR="00115F89" w:rsidRPr="001269F3" w:rsidRDefault="00115F89" w:rsidP="002D0684">
      <w:pPr>
        <w:ind w:firstLine="709"/>
        <w:jc w:val="both"/>
        <w:rPr>
          <w:sz w:val="27"/>
          <w:szCs w:val="27"/>
        </w:rPr>
      </w:pPr>
      <w:r w:rsidRPr="001269F3">
        <w:rPr>
          <w:sz w:val="27"/>
          <w:szCs w:val="27"/>
        </w:rPr>
        <w:t>3) в отношении нежилых помещений,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расположенных (находящихся) в многоквартирных домах, в том числе во встроенных и (или) пристроенных к многоквартирному дому помещениях:</w:t>
      </w:r>
    </w:p>
    <w:p w:rsidR="00115F89" w:rsidRPr="001269F3" w:rsidRDefault="00115F89" w:rsidP="002D0684">
      <w:pPr>
        <w:ind w:firstLine="709"/>
        <w:jc w:val="both"/>
        <w:rPr>
          <w:sz w:val="27"/>
          <w:szCs w:val="27"/>
        </w:rPr>
      </w:pPr>
      <w:r w:rsidRPr="001269F3">
        <w:rPr>
          <w:sz w:val="27"/>
          <w:szCs w:val="27"/>
        </w:rPr>
        <w:t>0,6 процента в 2019 году;</w:t>
      </w:r>
    </w:p>
    <w:p w:rsidR="00115F89" w:rsidRPr="001269F3" w:rsidRDefault="00115F89" w:rsidP="002D0684">
      <w:pPr>
        <w:ind w:firstLine="709"/>
        <w:jc w:val="both"/>
        <w:rPr>
          <w:sz w:val="27"/>
          <w:szCs w:val="27"/>
        </w:rPr>
      </w:pPr>
      <w:r w:rsidRPr="001269F3">
        <w:rPr>
          <w:sz w:val="27"/>
          <w:szCs w:val="27"/>
        </w:rPr>
        <w:t>0,9 процента в 2020 году;</w:t>
      </w:r>
    </w:p>
    <w:p w:rsidR="00115F89" w:rsidRPr="001269F3" w:rsidRDefault="00115F89" w:rsidP="002D0684">
      <w:pPr>
        <w:ind w:firstLine="709"/>
        <w:jc w:val="both"/>
        <w:rPr>
          <w:sz w:val="27"/>
          <w:szCs w:val="27"/>
        </w:rPr>
      </w:pPr>
      <w:r w:rsidRPr="001269F3">
        <w:rPr>
          <w:sz w:val="27"/>
          <w:szCs w:val="27"/>
        </w:rPr>
        <w:t>1,2 процент в 2020 году и последующих годах.</w:t>
      </w:r>
    </w:p>
    <w:p w:rsidR="00115F89" w:rsidRPr="001269F3" w:rsidRDefault="00115F89" w:rsidP="002D0684">
      <w:pPr>
        <w:ind w:firstLine="709"/>
        <w:jc w:val="both"/>
        <w:rPr>
          <w:sz w:val="27"/>
          <w:szCs w:val="27"/>
        </w:rPr>
      </w:pPr>
      <w:r w:rsidRPr="001269F3">
        <w:rPr>
          <w:rFonts w:eastAsia="Calibri"/>
          <w:sz w:val="27"/>
          <w:szCs w:val="27"/>
          <w:lang w:eastAsia="en-US"/>
        </w:rPr>
        <w:t>В случае соответствия объекта недвижимого имущества нескольким критериям, предусмотренным пунктами 1 – 3 части 3 настоящей статьи, при исчислении налога будет применяться минимальный размер установленной налоговой ставки.</w:t>
      </w:r>
      <w:r w:rsidR="009F22DF" w:rsidRPr="001269F3">
        <w:rPr>
          <w:sz w:val="27"/>
          <w:szCs w:val="27"/>
        </w:rPr>
        <w:t xml:space="preserve"> </w:t>
      </w:r>
    </w:p>
    <w:p w:rsidR="000E6B20" w:rsidRPr="008144A5" w:rsidRDefault="001269F3" w:rsidP="008144A5">
      <w:pPr>
        <w:ind w:firstLine="709"/>
        <w:jc w:val="both"/>
        <w:rPr>
          <w:rFonts w:eastAsia="Calibri"/>
          <w:sz w:val="27"/>
          <w:szCs w:val="27"/>
          <w:lang w:eastAsia="en-US"/>
        </w:rPr>
      </w:pPr>
      <w:r w:rsidRPr="008144A5">
        <w:rPr>
          <w:rFonts w:eastAsia="Calibri"/>
          <w:sz w:val="27"/>
          <w:szCs w:val="27"/>
          <w:lang w:eastAsia="en-US"/>
        </w:rPr>
        <w:t xml:space="preserve">2. </w:t>
      </w:r>
      <w:r w:rsidR="008144A5" w:rsidRPr="008144A5">
        <w:rPr>
          <w:rFonts w:eastAsia="Calibri"/>
          <w:sz w:val="27"/>
          <w:szCs w:val="27"/>
          <w:lang w:eastAsia="en-US"/>
        </w:rPr>
        <w:t xml:space="preserve">В отношении жилых домов, вводимых в эксплуатацию, и жилых помещений, расположенных в таких домах, налоговая база как кадастровая </w:t>
      </w:r>
      <w:r w:rsidR="008144A5" w:rsidRPr="008144A5">
        <w:rPr>
          <w:rFonts w:eastAsia="Calibri"/>
          <w:sz w:val="27"/>
          <w:szCs w:val="27"/>
          <w:lang w:eastAsia="en-US"/>
        </w:rPr>
        <w:lastRenderedPageBreak/>
        <w:t>стоимость объектов недвижимого имущества определяется по истечении одного года со дня принятия указанных объектов к бухгалтерскому учёту при вводе жилых домов в эксплуатацию</w:t>
      </w:r>
      <w:r w:rsidR="000E6B20" w:rsidRPr="008144A5">
        <w:rPr>
          <w:rFonts w:eastAsia="Calibri"/>
          <w:sz w:val="27"/>
          <w:szCs w:val="27"/>
          <w:lang w:eastAsia="en-US"/>
        </w:rPr>
        <w:t>, то есть с отсрочкой в один год.</w:t>
      </w:r>
    </w:p>
    <w:p w:rsidR="009F22DF" w:rsidRPr="001269F3" w:rsidRDefault="001269F3" w:rsidP="002D0684">
      <w:pPr>
        <w:ind w:firstLine="709"/>
        <w:jc w:val="both"/>
        <w:rPr>
          <w:rFonts w:eastAsia="Calibri"/>
          <w:sz w:val="27"/>
          <w:szCs w:val="27"/>
          <w:lang w:eastAsia="en-US"/>
        </w:rPr>
      </w:pPr>
      <w:r w:rsidRPr="001269F3">
        <w:rPr>
          <w:sz w:val="27"/>
          <w:szCs w:val="27"/>
        </w:rPr>
        <w:t>3. П</w:t>
      </w:r>
      <w:r w:rsidR="00115F89" w:rsidRPr="001269F3">
        <w:rPr>
          <w:sz w:val="27"/>
          <w:szCs w:val="27"/>
        </w:rPr>
        <w:t>роектом закона предлагается</w:t>
      </w:r>
      <w:r w:rsidR="009B0B5D" w:rsidRPr="001269F3">
        <w:rPr>
          <w:sz w:val="27"/>
          <w:szCs w:val="27"/>
        </w:rPr>
        <w:t xml:space="preserve"> отмен</w:t>
      </w:r>
      <w:r w:rsidR="00115F89" w:rsidRPr="001269F3">
        <w:rPr>
          <w:sz w:val="27"/>
          <w:szCs w:val="27"/>
        </w:rPr>
        <w:t>ить</w:t>
      </w:r>
      <w:r w:rsidR="009B0B5D" w:rsidRPr="001269F3">
        <w:rPr>
          <w:sz w:val="27"/>
          <w:szCs w:val="27"/>
        </w:rPr>
        <w:t xml:space="preserve"> налоговы</w:t>
      </w:r>
      <w:r w:rsidR="00115F89" w:rsidRPr="001269F3">
        <w:rPr>
          <w:sz w:val="27"/>
          <w:szCs w:val="27"/>
        </w:rPr>
        <w:t>е</w:t>
      </w:r>
      <w:r w:rsidR="009B0B5D" w:rsidRPr="001269F3">
        <w:rPr>
          <w:sz w:val="27"/>
          <w:szCs w:val="27"/>
        </w:rPr>
        <w:t xml:space="preserve"> льгот</w:t>
      </w:r>
      <w:r w:rsidR="00115F89" w:rsidRPr="001269F3">
        <w:rPr>
          <w:sz w:val="27"/>
          <w:szCs w:val="27"/>
        </w:rPr>
        <w:t>ы</w:t>
      </w:r>
      <w:r w:rsidR="009F22DF" w:rsidRPr="001269F3">
        <w:rPr>
          <w:sz w:val="27"/>
          <w:szCs w:val="27"/>
        </w:rPr>
        <w:t xml:space="preserve">, </w:t>
      </w:r>
      <w:r w:rsidR="009F22DF" w:rsidRPr="001269F3">
        <w:rPr>
          <w:rFonts w:eastAsia="Calibri"/>
          <w:sz w:val="27"/>
          <w:szCs w:val="27"/>
          <w:lang w:eastAsia="en-US"/>
        </w:rPr>
        <w:t>которые признаны невостребованными либо неэффективными, в отношении следующих категорий налогоплательщиков:</w:t>
      </w:r>
    </w:p>
    <w:p w:rsidR="009F22DF" w:rsidRPr="001269F3" w:rsidRDefault="009F22DF" w:rsidP="002D0684">
      <w:pPr>
        <w:ind w:firstLine="709"/>
        <w:contextualSpacing/>
        <w:jc w:val="both"/>
        <w:rPr>
          <w:rFonts w:eastAsia="Calibri"/>
          <w:sz w:val="27"/>
          <w:szCs w:val="27"/>
          <w:lang w:eastAsia="en-US"/>
        </w:rPr>
      </w:pPr>
      <w:r w:rsidRPr="001269F3">
        <w:rPr>
          <w:rFonts w:eastAsia="Calibri"/>
          <w:sz w:val="27"/>
          <w:szCs w:val="27"/>
          <w:lang w:eastAsia="en-US"/>
        </w:rPr>
        <w:t xml:space="preserve"> – организаций, передающих имущество учреждениям и предприятиям, деятельность которых регулируется Законом Российской Федерации «Об учреждениях и органах, исполняющих уголовные наказания в виде лишения свободы», в части балансовой (нормативной) стоимости имущества, передаваемого во временное пользование (аренду) уголовно-исполнительной системе;</w:t>
      </w:r>
    </w:p>
    <w:p w:rsidR="009F22DF" w:rsidRPr="001269F3" w:rsidRDefault="009F22DF" w:rsidP="002D0684">
      <w:pPr>
        <w:ind w:firstLine="709"/>
        <w:contextualSpacing/>
        <w:jc w:val="both"/>
        <w:rPr>
          <w:rFonts w:eastAsia="Calibri"/>
          <w:sz w:val="27"/>
          <w:szCs w:val="27"/>
          <w:lang w:eastAsia="en-US"/>
        </w:rPr>
      </w:pPr>
      <w:r w:rsidRPr="001269F3">
        <w:rPr>
          <w:rFonts w:eastAsia="Calibri"/>
          <w:sz w:val="27"/>
          <w:szCs w:val="27"/>
          <w:lang w:eastAsia="en-US"/>
        </w:rPr>
        <w:t>– садоводческих, огороднических объединений граждан;</w:t>
      </w:r>
    </w:p>
    <w:p w:rsidR="009F22DF" w:rsidRPr="001269F3" w:rsidRDefault="009F22DF" w:rsidP="002D0684">
      <w:pPr>
        <w:ind w:firstLine="709"/>
        <w:contextualSpacing/>
        <w:jc w:val="both"/>
        <w:rPr>
          <w:rFonts w:eastAsia="Calibri"/>
          <w:sz w:val="27"/>
          <w:szCs w:val="27"/>
          <w:lang w:eastAsia="en-US"/>
        </w:rPr>
      </w:pPr>
      <w:r w:rsidRPr="001269F3">
        <w:rPr>
          <w:rFonts w:eastAsia="Calibri"/>
          <w:sz w:val="27"/>
          <w:szCs w:val="27"/>
          <w:lang w:eastAsia="en-US"/>
        </w:rPr>
        <w:t>– гаражных кооперативов в отношении имущества, не используемого в коммерческих целях;</w:t>
      </w:r>
    </w:p>
    <w:p w:rsidR="009F22DF" w:rsidRPr="001269F3" w:rsidRDefault="009F22DF" w:rsidP="002D0684">
      <w:pPr>
        <w:ind w:firstLine="709"/>
        <w:contextualSpacing/>
        <w:jc w:val="both"/>
        <w:rPr>
          <w:rFonts w:eastAsia="Calibri"/>
          <w:sz w:val="27"/>
          <w:szCs w:val="27"/>
          <w:lang w:eastAsia="en-US"/>
        </w:rPr>
      </w:pPr>
      <w:r w:rsidRPr="001269F3">
        <w:rPr>
          <w:rFonts w:eastAsia="Calibri"/>
          <w:sz w:val="27"/>
          <w:szCs w:val="27"/>
          <w:lang w:eastAsia="en-US"/>
        </w:rPr>
        <w:t>– товариществ собственников жилья в отношении имущества, не используемого в коммерческих целях;</w:t>
      </w:r>
    </w:p>
    <w:p w:rsidR="009F22DF" w:rsidRPr="001269F3" w:rsidRDefault="009F22DF" w:rsidP="002D0684">
      <w:pPr>
        <w:ind w:firstLine="709"/>
        <w:contextualSpacing/>
        <w:jc w:val="both"/>
        <w:rPr>
          <w:rFonts w:eastAsia="Calibri"/>
          <w:sz w:val="27"/>
          <w:szCs w:val="27"/>
          <w:lang w:eastAsia="en-US"/>
        </w:rPr>
      </w:pPr>
      <w:r w:rsidRPr="001269F3">
        <w:rPr>
          <w:rFonts w:eastAsia="Calibri"/>
          <w:sz w:val="27"/>
          <w:szCs w:val="27"/>
          <w:lang w:eastAsia="en-US"/>
        </w:rPr>
        <w:t>–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учредителями (участниками) которых являются бюджетные научные учреждения или научные учреждения, созданные государственными академиями наук, либо бюджетные образовательные учреждения высшего профессионального образования (высшие учебные заведения) или образовательные учреждения высшего профессионального образования (высшие учебные заведения), созданные государственными академиями наук;</w:t>
      </w:r>
    </w:p>
    <w:p w:rsidR="009F22DF" w:rsidRPr="001269F3" w:rsidRDefault="009F22DF" w:rsidP="002D0684">
      <w:pPr>
        <w:ind w:firstLine="709"/>
        <w:contextualSpacing/>
        <w:jc w:val="both"/>
        <w:rPr>
          <w:rFonts w:eastAsia="Calibri"/>
          <w:sz w:val="27"/>
          <w:szCs w:val="27"/>
          <w:lang w:eastAsia="en-US"/>
        </w:rPr>
      </w:pPr>
      <w:r w:rsidRPr="001269F3">
        <w:rPr>
          <w:rFonts w:eastAsia="Calibri"/>
          <w:sz w:val="27"/>
          <w:szCs w:val="27"/>
          <w:lang w:eastAsia="en-US"/>
        </w:rPr>
        <w:t>– организаций в отношении автомобильных дорог общего пользования регионального или межмуниципального значения Удмуртской Республики.</w:t>
      </w:r>
    </w:p>
    <w:p w:rsidR="00971F95" w:rsidRPr="001269F3" w:rsidRDefault="00971F95" w:rsidP="002D0684">
      <w:pPr>
        <w:ind w:firstLine="709"/>
        <w:jc w:val="both"/>
        <w:rPr>
          <w:sz w:val="27"/>
          <w:szCs w:val="27"/>
        </w:rPr>
      </w:pPr>
      <w:r w:rsidRPr="001269F3">
        <w:rPr>
          <w:sz w:val="27"/>
          <w:szCs w:val="27"/>
        </w:rPr>
        <w:t>В Закон Удмуртской Республики от 27 ноября 2002 года № 63-РЗ «О транспортном налоге в Удмуртской Республике» предлагается внести следующие изменения.</w:t>
      </w:r>
    </w:p>
    <w:p w:rsidR="00223825" w:rsidRPr="001269F3" w:rsidRDefault="000E674D" w:rsidP="002D0684">
      <w:pPr>
        <w:ind w:firstLine="709"/>
        <w:jc w:val="both"/>
        <w:rPr>
          <w:sz w:val="27"/>
          <w:szCs w:val="27"/>
        </w:rPr>
      </w:pPr>
      <w:r w:rsidRPr="001269F3">
        <w:rPr>
          <w:sz w:val="27"/>
          <w:szCs w:val="27"/>
        </w:rPr>
        <w:t>П</w:t>
      </w:r>
      <w:r w:rsidR="00223825" w:rsidRPr="001269F3">
        <w:rPr>
          <w:sz w:val="27"/>
          <w:szCs w:val="27"/>
        </w:rPr>
        <w:t>роектом закона предусматривается увеличение налоговых ставок по транспортному налогу</w:t>
      </w:r>
      <w:r w:rsidR="001E72B6">
        <w:rPr>
          <w:sz w:val="27"/>
          <w:szCs w:val="27"/>
        </w:rPr>
        <w:t xml:space="preserve"> в отношении отдельных видов транспортных средств:</w:t>
      </w:r>
      <w:r w:rsidR="001E72B6" w:rsidRPr="001E72B6">
        <w:rPr>
          <w:sz w:val="27"/>
          <w:szCs w:val="27"/>
        </w:rPr>
        <w:t xml:space="preserve"> </w:t>
      </w:r>
      <w:r w:rsidR="001E72B6" w:rsidRPr="001269F3">
        <w:rPr>
          <w:sz w:val="27"/>
          <w:szCs w:val="27"/>
        </w:rPr>
        <w:t>автомобили легковые, мотоциклы, грузовые автомобили, снегоходы и мотосани, катера и моторные лодки, яхты и другие парусно-моторные суда, гидроциклы.</w:t>
      </w:r>
    </w:p>
    <w:p w:rsidR="000E674D" w:rsidRPr="001269F3" w:rsidRDefault="000E674D" w:rsidP="002D0684">
      <w:pPr>
        <w:autoSpaceDE w:val="0"/>
        <w:autoSpaceDN w:val="0"/>
        <w:adjustRightInd w:val="0"/>
        <w:ind w:firstLine="709"/>
        <w:jc w:val="both"/>
        <w:rPr>
          <w:sz w:val="27"/>
          <w:szCs w:val="27"/>
        </w:rPr>
      </w:pPr>
      <w:r w:rsidRPr="001269F3">
        <w:rPr>
          <w:sz w:val="27"/>
          <w:szCs w:val="27"/>
        </w:rPr>
        <w:t>В Удмуртской Республике налоговые ставки транспортного налога не повышались последние двенадцать лет. Последние изменения в Закон Удмуртской Республики от 27 ноября 2002 года № 63-РЗ «О транспортном налоге  в Удмуртской Республике» в части повышения налоговых ставок были внесены в 2006 году.</w:t>
      </w:r>
    </w:p>
    <w:p w:rsidR="000E674D" w:rsidRPr="001269F3" w:rsidRDefault="000E674D" w:rsidP="002D0684">
      <w:pPr>
        <w:autoSpaceDE w:val="0"/>
        <w:autoSpaceDN w:val="0"/>
        <w:adjustRightInd w:val="0"/>
        <w:ind w:firstLine="709"/>
        <w:jc w:val="both"/>
        <w:rPr>
          <w:sz w:val="27"/>
          <w:szCs w:val="27"/>
        </w:rPr>
      </w:pPr>
      <w:r w:rsidRPr="001269F3">
        <w:rPr>
          <w:sz w:val="27"/>
          <w:szCs w:val="27"/>
        </w:rPr>
        <w:t xml:space="preserve">В соответствии со статьей 361 части второй Налогового кодекса Российской Федерации субъекту Российской Федерации предоставлено право увеличения (уменьшения) законом субъекта Российской Федерации налоговых </w:t>
      </w:r>
      <w:r w:rsidRPr="001269F3">
        <w:rPr>
          <w:sz w:val="27"/>
          <w:szCs w:val="27"/>
        </w:rPr>
        <w:lastRenderedPageBreak/>
        <w:t>ставок, указанных в пункте 1 статьи 361 части второй Налогового кодекса Российской Федерации, но не более чем в десять раз.</w:t>
      </w:r>
    </w:p>
    <w:p w:rsidR="007B1542" w:rsidRPr="001269F3" w:rsidRDefault="00AE7C73" w:rsidP="002D0684">
      <w:pPr>
        <w:ind w:firstLine="709"/>
        <w:jc w:val="both"/>
        <w:rPr>
          <w:rFonts w:eastAsia="Calibri"/>
          <w:sz w:val="27"/>
          <w:szCs w:val="27"/>
          <w:lang w:eastAsia="en-US"/>
        </w:rPr>
      </w:pPr>
      <w:r>
        <w:rPr>
          <w:sz w:val="27"/>
          <w:szCs w:val="27"/>
        </w:rPr>
        <w:t>В то же время</w:t>
      </w:r>
      <w:r w:rsidR="00771B5B" w:rsidRPr="001269F3">
        <w:rPr>
          <w:sz w:val="27"/>
          <w:szCs w:val="27"/>
        </w:rPr>
        <w:t xml:space="preserve"> пре</w:t>
      </w:r>
      <w:r w:rsidR="0043388F">
        <w:rPr>
          <w:sz w:val="27"/>
          <w:szCs w:val="27"/>
        </w:rPr>
        <w:t>д</w:t>
      </w:r>
      <w:r w:rsidR="00771B5B" w:rsidRPr="001269F3">
        <w:rPr>
          <w:sz w:val="27"/>
          <w:szCs w:val="27"/>
        </w:rPr>
        <w:t xml:space="preserve">лагается предусмотреть налоговую льготу </w:t>
      </w:r>
      <w:r w:rsidR="007B1542" w:rsidRPr="001269F3">
        <w:rPr>
          <w:sz w:val="27"/>
          <w:szCs w:val="27"/>
        </w:rPr>
        <w:t xml:space="preserve">для </w:t>
      </w:r>
      <w:r w:rsidR="00771B5B" w:rsidRPr="001269F3">
        <w:rPr>
          <w:sz w:val="27"/>
          <w:szCs w:val="27"/>
        </w:rPr>
        <w:t xml:space="preserve">следующих категорий налогоплательщиков: </w:t>
      </w:r>
    </w:p>
    <w:p w:rsidR="007B1542" w:rsidRPr="001269F3" w:rsidRDefault="007B1542" w:rsidP="002D0684">
      <w:pPr>
        <w:ind w:firstLine="709"/>
        <w:jc w:val="both"/>
        <w:rPr>
          <w:rFonts w:eastAsia="Calibri"/>
          <w:sz w:val="27"/>
          <w:szCs w:val="27"/>
          <w:lang w:eastAsia="en-US"/>
        </w:rPr>
      </w:pPr>
      <w:r w:rsidRPr="001269F3">
        <w:rPr>
          <w:rFonts w:eastAsia="Calibri"/>
          <w:sz w:val="27"/>
          <w:szCs w:val="27"/>
          <w:lang w:eastAsia="en-US"/>
        </w:rPr>
        <w:t>1) пенсионеры всех категорий;</w:t>
      </w:r>
    </w:p>
    <w:p w:rsidR="007B1542" w:rsidRPr="001269F3" w:rsidRDefault="007B1542" w:rsidP="002D0684">
      <w:pPr>
        <w:ind w:firstLine="709"/>
        <w:jc w:val="both"/>
        <w:rPr>
          <w:rFonts w:eastAsia="Calibri"/>
          <w:sz w:val="27"/>
          <w:szCs w:val="27"/>
          <w:lang w:eastAsia="en-US"/>
        </w:rPr>
      </w:pPr>
      <w:r w:rsidRPr="001269F3">
        <w:rPr>
          <w:rFonts w:eastAsia="Calibri"/>
          <w:sz w:val="27"/>
          <w:szCs w:val="27"/>
          <w:lang w:eastAsia="en-US"/>
        </w:rPr>
        <w:t>2) физические лица, достигшие возраста 55 лет для женщин и 60 лет для мужчин;</w:t>
      </w:r>
    </w:p>
    <w:p w:rsidR="007B1542" w:rsidRPr="008144A5" w:rsidRDefault="007B1542" w:rsidP="002D0684">
      <w:pPr>
        <w:ind w:firstLine="709"/>
        <w:jc w:val="both"/>
        <w:rPr>
          <w:rFonts w:eastAsia="Calibri"/>
          <w:sz w:val="27"/>
          <w:szCs w:val="27"/>
          <w:lang w:eastAsia="en-US"/>
        </w:rPr>
      </w:pPr>
      <w:r w:rsidRPr="008144A5">
        <w:rPr>
          <w:rFonts w:eastAsia="Calibri"/>
          <w:sz w:val="27"/>
          <w:szCs w:val="27"/>
          <w:lang w:eastAsia="en-US"/>
        </w:rPr>
        <w:t>3)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7B1542" w:rsidRPr="008144A5" w:rsidRDefault="007B1542" w:rsidP="002D0684">
      <w:pPr>
        <w:ind w:firstLine="709"/>
        <w:jc w:val="both"/>
        <w:rPr>
          <w:rFonts w:eastAsia="Calibri"/>
          <w:sz w:val="27"/>
          <w:szCs w:val="27"/>
          <w:lang w:eastAsia="en-US"/>
        </w:rPr>
      </w:pPr>
      <w:r w:rsidRPr="008144A5">
        <w:rPr>
          <w:rFonts w:eastAsia="Calibri"/>
          <w:sz w:val="27"/>
          <w:szCs w:val="27"/>
          <w:lang w:eastAsia="en-US"/>
        </w:rPr>
        <w:t xml:space="preserve">4) ветераны боевых действий, которым оказываются меры социальной поддержки в соответствии с Федеральным </w:t>
      </w:r>
      <w:hyperlink r:id="rId7" w:history="1">
        <w:r w:rsidRPr="008144A5">
          <w:rPr>
            <w:rFonts w:eastAsia="Calibri"/>
            <w:sz w:val="27"/>
            <w:szCs w:val="27"/>
            <w:lang w:eastAsia="en-US"/>
          </w:rPr>
          <w:t>законом</w:t>
        </w:r>
      </w:hyperlink>
      <w:r w:rsidRPr="008144A5">
        <w:rPr>
          <w:rFonts w:eastAsia="Calibri"/>
          <w:sz w:val="27"/>
          <w:szCs w:val="27"/>
          <w:lang w:eastAsia="en-US"/>
        </w:rPr>
        <w:t xml:space="preserve"> «О ветеранах»</w:t>
      </w:r>
    </w:p>
    <w:p w:rsidR="007B1542" w:rsidRPr="001269F3" w:rsidRDefault="006E07E7" w:rsidP="002D0684">
      <w:pPr>
        <w:ind w:firstLine="709"/>
        <w:jc w:val="both"/>
        <w:rPr>
          <w:rFonts w:eastAsia="Calibri"/>
          <w:sz w:val="27"/>
          <w:szCs w:val="27"/>
          <w:lang w:eastAsia="en-US"/>
        </w:rPr>
      </w:pPr>
      <w:r w:rsidRPr="008144A5">
        <w:rPr>
          <w:rFonts w:eastAsia="Calibri"/>
          <w:sz w:val="27"/>
          <w:szCs w:val="27"/>
          <w:lang w:eastAsia="en-US"/>
        </w:rPr>
        <w:t>Налоговая льгота (50 процентов от размера соответствующей ставки транспортного налога) могжет применяться по выбору вышеперечисленных налогоплательщиков только по одному из зарегистрированных за ним транспортных средств, мощность двигателя которого не превышает 150 лошадиных сил (110,33 кВт).</w:t>
      </w:r>
    </w:p>
    <w:p w:rsidR="00292D0D" w:rsidRPr="001269F3" w:rsidRDefault="00292D0D" w:rsidP="002D0684">
      <w:pPr>
        <w:ind w:firstLine="709"/>
        <w:jc w:val="both"/>
        <w:rPr>
          <w:rFonts w:eastAsia="Calibri"/>
          <w:sz w:val="27"/>
          <w:szCs w:val="27"/>
          <w:lang w:eastAsia="en-US"/>
        </w:rPr>
      </w:pPr>
      <w:r w:rsidRPr="001269F3">
        <w:rPr>
          <w:rFonts w:eastAsia="Calibri"/>
          <w:sz w:val="27"/>
          <w:szCs w:val="27"/>
          <w:lang w:eastAsia="en-US"/>
        </w:rPr>
        <w:t>Также проектом закона предлагается отменить налоговые льготы, которые признаны невостребованными либо неэффективными, в отношении следующих категорий налогоплательщиков:</w:t>
      </w:r>
    </w:p>
    <w:p w:rsidR="002D0684" w:rsidRPr="001269F3" w:rsidRDefault="002D0684" w:rsidP="002D0684">
      <w:pPr>
        <w:ind w:firstLine="709"/>
        <w:jc w:val="both"/>
        <w:rPr>
          <w:rFonts w:eastAsia="Calibri"/>
          <w:sz w:val="27"/>
          <w:szCs w:val="27"/>
          <w:lang w:eastAsia="en-US"/>
        </w:rPr>
      </w:pPr>
      <w:r w:rsidRPr="001269F3">
        <w:rPr>
          <w:rFonts w:eastAsia="Calibri"/>
          <w:sz w:val="27"/>
          <w:szCs w:val="27"/>
          <w:lang w:eastAsia="en-US"/>
        </w:rPr>
        <w:t>– юридических лиц, признаваемых налогоплательщиками в соответствии со статьей 357 Налогового кодекса Российской Федерации, осуществляющих содержание автомобильных дорог общего пользования Удмуртской Республики;</w:t>
      </w:r>
    </w:p>
    <w:p w:rsidR="002D0684" w:rsidRPr="001269F3" w:rsidRDefault="002D0684" w:rsidP="002D0684">
      <w:pPr>
        <w:ind w:firstLine="709"/>
        <w:jc w:val="both"/>
        <w:rPr>
          <w:rFonts w:eastAsia="Calibri"/>
          <w:sz w:val="27"/>
          <w:szCs w:val="27"/>
          <w:lang w:eastAsia="en-US"/>
        </w:rPr>
      </w:pPr>
      <w:r w:rsidRPr="001269F3">
        <w:rPr>
          <w:rFonts w:eastAsia="Calibri"/>
          <w:sz w:val="27"/>
          <w:szCs w:val="27"/>
          <w:lang w:eastAsia="en-US"/>
        </w:rPr>
        <w:t>– профессиональных образовательных организаций, санаторных образовательных организаций, организаций для детей-сирот и детей, оставшихся без попечения родителей, общеобразовательных организаций, реализующих адаптированные основные общеобразовательные программы, являющихся государственными учреждениями Удмуртской Республики или муниципальными учреждениями муниципальных образований в Удмуртской Республике и имеющих лицензию на право осуществления образовательной деятельности;</w:t>
      </w:r>
    </w:p>
    <w:p w:rsidR="002D0684" w:rsidRPr="001269F3" w:rsidRDefault="002D0684" w:rsidP="002D0684">
      <w:pPr>
        <w:ind w:firstLine="709"/>
        <w:jc w:val="both"/>
        <w:rPr>
          <w:rFonts w:eastAsia="Calibri"/>
          <w:sz w:val="27"/>
          <w:szCs w:val="27"/>
          <w:lang w:eastAsia="en-US"/>
        </w:rPr>
      </w:pPr>
      <w:r w:rsidRPr="001269F3">
        <w:rPr>
          <w:rFonts w:eastAsia="Calibri"/>
          <w:sz w:val="27"/>
          <w:szCs w:val="27"/>
          <w:lang w:eastAsia="en-US"/>
        </w:rPr>
        <w:t>– организаций, имеющих мобилизационные задания по обеспечению военно-транспортной обязанности;</w:t>
      </w:r>
    </w:p>
    <w:p w:rsidR="002D0684" w:rsidRPr="001269F3" w:rsidRDefault="002D0684" w:rsidP="002D0684">
      <w:pPr>
        <w:ind w:firstLine="709"/>
        <w:jc w:val="both"/>
        <w:rPr>
          <w:rFonts w:eastAsia="Calibri"/>
          <w:sz w:val="27"/>
          <w:szCs w:val="27"/>
          <w:lang w:eastAsia="en-US"/>
        </w:rPr>
      </w:pPr>
      <w:r w:rsidRPr="001269F3">
        <w:rPr>
          <w:rFonts w:eastAsia="Calibri"/>
          <w:sz w:val="27"/>
          <w:szCs w:val="27"/>
          <w:lang w:eastAsia="en-US"/>
        </w:rPr>
        <w:t>– организаций почтовой связи в отношении транспортных средств, обслуживающих объекты почтовой связи в сельских населенных пунктах Удмуртской Республики.</w:t>
      </w:r>
    </w:p>
    <w:p w:rsidR="00C573B4" w:rsidRDefault="00C573B4" w:rsidP="00585275">
      <w:pPr>
        <w:tabs>
          <w:tab w:val="left" w:pos="180"/>
          <w:tab w:val="left" w:pos="10260"/>
        </w:tabs>
        <w:suppressAutoHyphens/>
        <w:ind w:right="-5" w:firstLine="720"/>
        <w:jc w:val="both"/>
        <w:rPr>
          <w:sz w:val="27"/>
          <w:szCs w:val="27"/>
          <w:highlight w:val="yellow"/>
        </w:rPr>
      </w:pPr>
    </w:p>
    <w:p w:rsidR="00467245" w:rsidRDefault="00467245" w:rsidP="00585275">
      <w:pPr>
        <w:tabs>
          <w:tab w:val="left" w:pos="180"/>
          <w:tab w:val="left" w:pos="10260"/>
        </w:tabs>
        <w:suppressAutoHyphens/>
        <w:ind w:right="-5" w:firstLine="720"/>
        <w:jc w:val="both"/>
        <w:rPr>
          <w:sz w:val="27"/>
          <w:szCs w:val="27"/>
          <w:highlight w:val="yellow"/>
        </w:rPr>
      </w:pPr>
    </w:p>
    <w:p w:rsidR="001269F3" w:rsidRPr="001269F3" w:rsidRDefault="001269F3" w:rsidP="00585275">
      <w:pPr>
        <w:tabs>
          <w:tab w:val="left" w:pos="180"/>
          <w:tab w:val="left" w:pos="10260"/>
        </w:tabs>
        <w:suppressAutoHyphens/>
        <w:ind w:right="-5" w:firstLine="720"/>
        <w:jc w:val="both"/>
        <w:rPr>
          <w:sz w:val="27"/>
          <w:szCs w:val="27"/>
          <w:highlight w:val="yellow"/>
        </w:rPr>
      </w:pPr>
    </w:p>
    <w:p w:rsidR="002D0684" w:rsidRPr="001269F3" w:rsidRDefault="002D0684" w:rsidP="002D0684">
      <w:pPr>
        <w:rPr>
          <w:sz w:val="27"/>
          <w:szCs w:val="27"/>
        </w:rPr>
      </w:pPr>
      <w:r w:rsidRPr="001269F3">
        <w:rPr>
          <w:sz w:val="27"/>
          <w:szCs w:val="27"/>
        </w:rPr>
        <w:t xml:space="preserve">Председатель постоянной комиссии </w:t>
      </w:r>
    </w:p>
    <w:p w:rsidR="002D0684" w:rsidRPr="001269F3" w:rsidRDefault="002D0684" w:rsidP="002D0684">
      <w:pPr>
        <w:rPr>
          <w:sz w:val="27"/>
          <w:szCs w:val="27"/>
        </w:rPr>
      </w:pPr>
      <w:r w:rsidRPr="001269F3">
        <w:rPr>
          <w:sz w:val="27"/>
          <w:szCs w:val="27"/>
        </w:rPr>
        <w:t xml:space="preserve">Государственного Совета </w:t>
      </w:r>
    </w:p>
    <w:p w:rsidR="002D0684" w:rsidRPr="001269F3" w:rsidRDefault="002D0684" w:rsidP="002D0684">
      <w:pPr>
        <w:rPr>
          <w:sz w:val="27"/>
          <w:szCs w:val="27"/>
        </w:rPr>
      </w:pPr>
      <w:r w:rsidRPr="001269F3">
        <w:rPr>
          <w:sz w:val="27"/>
          <w:szCs w:val="27"/>
        </w:rPr>
        <w:t xml:space="preserve">Удмуртской Республики </w:t>
      </w:r>
    </w:p>
    <w:p w:rsidR="00D76275" w:rsidRPr="001269F3" w:rsidRDefault="002D0684" w:rsidP="002D0684">
      <w:pPr>
        <w:rPr>
          <w:sz w:val="27"/>
          <w:szCs w:val="27"/>
        </w:rPr>
      </w:pPr>
      <w:r w:rsidRPr="001269F3">
        <w:rPr>
          <w:sz w:val="27"/>
          <w:szCs w:val="27"/>
        </w:rPr>
        <w:t xml:space="preserve">по бюджету, налогам и финансам </w:t>
      </w:r>
      <w:r w:rsidRPr="001269F3">
        <w:rPr>
          <w:sz w:val="27"/>
          <w:szCs w:val="27"/>
        </w:rPr>
        <w:tab/>
      </w:r>
      <w:r w:rsidRPr="001269F3">
        <w:rPr>
          <w:sz w:val="27"/>
          <w:szCs w:val="27"/>
        </w:rPr>
        <w:tab/>
      </w:r>
      <w:r w:rsidRPr="001269F3">
        <w:rPr>
          <w:sz w:val="27"/>
          <w:szCs w:val="27"/>
        </w:rPr>
        <w:tab/>
      </w:r>
      <w:r w:rsidRPr="001269F3">
        <w:rPr>
          <w:sz w:val="27"/>
          <w:szCs w:val="27"/>
        </w:rPr>
        <w:tab/>
        <w:t xml:space="preserve">                    Ю.А. Тюрин</w:t>
      </w:r>
    </w:p>
    <w:sectPr w:rsidR="00D76275" w:rsidRPr="001269F3" w:rsidSect="003B5017">
      <w:headerReference w:type="default" r:id="rId8"/>
      <w:pgSz w:w="11906" w:h="16838"/>
      <w:pgMar w:top="1134" w:right="851" w:bottom="1134" w:left="1701"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825" w:rsidRDefault="00223825" w:rsidP="00A41D86">
      <w:r>
        <w:separator/>
      </w:r>
    </w:p>
  </w:endnote>
  <w:endnote w:type="continuationSeparator" w:id="0">
    <w:p w:rsidR="00223825" w:rsidRDefault="00223825" w:rsidP="00A4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DefSpecia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825" w:rsidRDefault="00223825" w:rsidP="00A41D86">
      <w:r>
        <w:separator/>
      </w:r>
    </w:p>
  </w:footnote>
  <w:footnote w:type="continuationSeparator" w:id="0">
    <w:p w:rsidR="00223825" w:rsidRDefault="00223825" w:rsidP="00A41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25" w:rsidRDefault="00FC5AFA">
    <w:pPr>
      <w:pStyle w:val="a6"/>
      <w:jc w:val="center"/>
    </w:pPr>
    <w:r>
      <w:fldChar w:fldCharType="begin"/>
    </w:r>
    <w:r>
      <w:instrText xml:space="preserve"> PAGE   \* MERGEFORMAT </w:instrText>
    </w:r>
    <w:r>
      <w:fldChar w:fldCharType="separate"/>
    </w:r>
    <w:r w:rsidR="00C66B09">
      <w:rPr>
        <w:noProof/>
      </w:rPr>
      <w:t>2</w:t>
    </w:r>
    <w:r>
      <w:rPr>
        <w:noProof/>
      </w:rPr>
      <w:fldChar w:fldCharType="end"/>
    </w:r>
  </w:p>
  <w:p w:rsidR="00223825" w:rsidRDefault="002238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004D7"/>
    <w:multiLevelType w:val="hybridMultilevel"/>
    <w:tmpl w:val="72EA0E62"/>
    <w:lvl w:ilvl="0" w:tplc="BF781A8A">
      <w:start w:val="1"/>
      <w:numFmt w:val="decimal"/>
      <w:lvlText w:val="%1)"/>
      <w:lvlJc w:val="left"/>
      <w:pPr>
        <w:ind w:left="1387" w:hanging="360"/>
      </w:pPr>
      <w:rPr>
        <w:rFonts w:hint="default"/>
      </w:rPr>
    </w:lvl>
    <w:lvl w:ilvl="1" w:tplc="04190019" w:tentative="1">
      <w:start w:val="1"/>
      <w:numFmt w:val="lowerLetter"/>
      <w:lvlText w:val="%2."/>
      <w:lvlJc w:val="left"/>
      <w:pPr>
        <w:ind w:left="2107" w:hanging="360"/>
      </w:pPr>
    </w:lvl>
    <w:lvl w:ilvl="2" w:tplc="0419001B" w:tentative="1">
      <w:start w:val="1"/>
      <w:numFmt w:val="lowerRoman"/>
      <w:lvlText w:val="%3."/>
      <w:lvlJc w:val="right"/>
      <w:pPr>
        <w:ind w:left="2827" w:hanging="180"/>
      </w:pPr>
    </w:lvl>
    <w:lvl w:ilvl="3" w:tplc="0419000F" w:tentative="1">
      <w:start w:val="1"/>
      <w:numFmt w:val="decimal"/>
      <w:lvlText w:val="%4."/>
      <w:lvlJc w:val="left"/>
      <w:pPr>
        <w:ind w:left="3547" w:hanging="360"/>
      </w:pPr>
    </w:lvl>
    <w:lvl w:ilvl="4" w:tplc="04190019" w:tentative="1">
      <w:start w:val="1"/>
      <w:numFmt w:val="lowerLetter"/>
      <w:lvlText w:val="%5."/>
      <w:lvlJc w:val="left"/>
      <w:pPr>
        <w:ind w:left="4267" w:hanging="360"/>
      </w:pPr>
    </w:lvl>
    <w:lvl w:ilvl="5" w:tplc="0419001B" w:tentative="1">
      <w:start w:val="1"/>
      <w:numFmt w:val="lowerRoman"/>
      <w:lvlText w:val="%6."/>
      <w:lvlJc w:val="right"/>
      <w:pPr>
        <w:ind w:left="4987" w:hanging="180"/>
      </w:pPr>
    </w:lvl>
    <w:lvl w:ilvl="6" w:tplc="0419000F" w:tentative="1">
      <w:start w:val="1"/>
      <w:numFmt w:val="decimal"/>
      <w:lvlText w:val="%7."/>
      <w:lvlJc w:val="left"/>
      <w:pPr>
        <w:ind w:left="5707" w:hanging="360"/>
      </w:pPr>
    </w:lvl>
    <w:lvl w:ilvl="7" w:tplc="04190019" w:tentative="1">
      <w:start w:val="1"/>
      <w:numFmt w:val="lowerLetter"/>
      <w:lvlText w:val="%8."/>
      <w:lvlJc w:val="left"/>
      <w:pPr>
        <w:ind w:left="6427" w:hanging="360"/>
      </w:pPr>
    </w:lvl>
    <w:lvl w:ilvl="8" w:tplc="0419001B" w:tentative="1">
      <w:start w:val="1"/>
      <w:numFmt w:val="lowerRoman"/>
      <w:lvlText w:val="%9."/>
      <w:lvlJc w:val="right"/>
      <w:pPr>
        <w:ind w:left="7147" w:hanging="180"/>
      </w:pPr>
    </w:lvl>
  </w:abstractNum>
  <w:abstractNum w:abstractNumId="1">
    <w:nsid w:val="59042506"/>
    <w:multiLevelType w:val="hybridMultilevel"/>
    <w:tmpl w:val="47FE3E24"/>
    <w:lvl w:ilvl="0" w:tplc="06A8C14E">
      <w:start w:val="2"/>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57DE"/>
    <w:rsid w:val="0000212C"/>
    <w:rsid w:val="000070FF"/>
    <w:rsid w:val="00031166"/>
    <w:rsid w:val="00031EA7"/>
    <w:rsid w:val="0006060B"/>
    <w:rsid w:val="0007446C"/>
    <w:rsid w:val="00075DDF"/>
    <w:rsid w:val="00075FCB"/>
    <w:rsid w:val="00083D91"/>
    <w:rsid w:val="00085A42"/>
    <w:rsid w:val="00090599"/>
    <w:rsid w:val="00093A4E"/>
    <w:rsid w:val="000A4C09"/>
    <w:rsid w:val="000C4378"/>
    <w:rsid w:val="000C4CA5"/>
    <w:rsid w:val="000E51D3"/>
    <w:rsid w:val="000E674D"/>
    <w:rsid w:val="000E6B20"/>
    <w:rsid w:val="000F6022"/>
    <w:rsid w:val="000F64B4"/>
    <w:rsid w:val="00106C87"/>
    <w:rsid w:val="00115F89"/>
    <w:rsid w:val="00121936"/>
    <w:rsid w:val="001269F3"/>
    <w:rsid w:val="0014330B"/>
    <w:rsid w:val="00146EF6"/>
    <w:rsid w:val="00160D1E"/>
    <w:rsid w:val="00164A80"/>
    <w:rsid w:val="00165F24"/>
    <w:rsid w:val="0017003E"/>
    <w:rsid w:val="001A4B94"/>
    <w:rsid w:val="001A4C53"/>
    <w:rsid w:val="001A4DA9"/>
    <w:rsid w:val="001B3550"/>
    <w:rsid w:val="001C7396"/>
    <w:rsid w:val="001E4939"/>
    <w:rsid w:val="001E72B6"/>
    <w:rsid w:val="00204995"/>
    <w:rsid w:val="002073FF"/>
    <w:rsid w:val="00223825"/>
    <w:rsid w:val="002563A5"/>
    <w:rsid w:val="002564BF"/>
    <w:rsid w:val="002807EB"/>
    <w:rsid w:val="00292D0D"/>
    <w:rsid w:val="0029751D"/>
    <w:rsid w:val="002B0E5C"/>
    <w:rsid w:val="002B2ADF"/>
    <w:rsid w:val="002B33F4"/>
    <w:rsid w:val="002D0684"/>
    <w:rsid w:val="002E4584"/>
    <w:rsid w:val="003048C2"/>
    <w:rsid w:val="00323A24"/>
    <w:rsid w:val="003242EA"/>
    <w:rsid w:val="00330FF6"/>
    <w:rsid w:val="00336BAB"/>
    <w:rsid w:val="00336DF7"/>
    <w:rsid w:val="00344BAF"/>
    <w:rsid w:val="00363F5B"/>
    <w:rsid w:val="00364C70"/>
    <w:rsid w:val="003A0B50"/>
    <w:rsid w:val="003A27CB"/>
    <w:rsid w:val="003B5017"/>
    <w:rsid w:val="003D0D47"/>
    <w:rsid w:val="003D69DB"/>
    <w:rsid w:val="003D7993"/>
    <w:rsid w:val="003F3E70"/>
    <w:rsid w:val="00403DFC"/>
    <w:rsid w:val="0042501F"/>
    <w:rsid w:val="00430F3B"/>
    <w:rsid w:val="0043388F"/>
    <w:rsid w:val="00446266"/>
    <w:rsid w:val="00460817"/>
    <w:rsid w:val="00467245"/>
    <w:rsid w:val="004749C7"/>
    <w:rsid w:val="0048088B"/>
    <w:rsid w:val="004B2EBA"/>
    <w:rsid w:val="004B4953"/>
    <w:rsid w:val="004C0088"/>
    <w:rsid w:val="004E56FD"/>
    <w:rsid w:val="0050380B"/>
    <w:rsid w:val="00521FA0"/>
    <w:rsid w:val="0052783F"/>
    <w:rsid w:val="00540D88"/>
    <w:rsid w:val="00554898"/>
    <w:rsid w:val="005551BE"/>
    <w:rsid w:val="0055764F"/>
    <w:rsid w:val="00585275"/>
    <w:rsid w:val="005C5686"/>
    <w:rsid w:val="005C764E"/>
    <w:rsid w:val="005D560A"/>
    <w:rsid w:val="005F5C3B"/>
    <w:rsid w:val="00615604"/>
    <w:rsid w:val="00624290"/>
    <w:rsid w:val="00637063"/>
    <w:rsid w:val="00643FBF"/>
    <w:rsid w:val="006543C7"/>
    <w:rsid w:val="00654450"/>
    <w:rsid w:val="0066635B"/>
    <w:rsid w:val="00667BDA"/>
    <w:rsid w:val="00681F11"/>
    <w:rsid w:val="00686317"/>
    <w:rsid w:val="00690150"/>
    <w:rsid w:val="006914B7"/>
    <w:rsid w:val="00691BB1"/>
    <w:rsid w:val="00694749"/>
    <w:rsid w:val="006A2A54"/>
    <w:rsid w:val="006C57F8"/>
    <w:rsid w:val="006E07E7"/>
    <w:rsid w:val="006F07D8"/>
    <w:rsid w:val="006F249D"/>
    <w:rsid w:val="006F47A5"/>
    <w:rsid w:val="0070601E"/>
    <w:rsid w:val="007372BA"/>
    <w:rsid w:val="00771B5B"/>
    <w:rsid w:val="00774DC2"/>
    <w:rsid w:val="00777834"/>
    <w:rsid w:val="007B1542"/>
    <w:rsid w:val="007B193D"/>
    <w:rsid w:val="007C15B4"/>
    <w:rsid w:val="007E77BD"/>
    <w:rsid w:val="007F2426"/>
    <w:rsid w:val="008049C8"/>
    <w:rsid w:val="0080560A"/>
    <w:rsid w:val="008144A5"/>
    <w:rsid w:val="008178F9"/>
    <w:rsid w:val="0082261D"/>
    <w:rsid w:val="00822F84"/>
    <w:rsid w:val="00842E8E"/>
    <w:rsid w:val="00875EF9"/>
    <w:rsid w:val="008821AC"/>
    <w:rsid w:val="00885054"/>
    <w:rsid w:val="00893BA6"/>
    <w:rsid w:val="00896966"/>
    <w:rsid w:val="008B0F7A"/>
    <w:rsid w:val="008B3034"/>
    <w:rsid w:val="008B4706"/>
    <w:rsid w:val="008C763A"/>
    <w:rsid w:val="008D6E77"/>
    <w:rsid w:val="008E4CA6"/>
    <w:rsid w:val="008E6AAD"/>
    <w:rsid w:val="009209F9"/>
    <w:rsid w:val="00926359"/>
    <w:rsid w:val="00926FBC"/>
    <w:rsid w:val="00932D08"/>
    <w:rsid w:val="00934545"/>
    <w:rsid w:val="00940D68"/>
    <w:rsid w:val="00944B15"/>
    <w:rsid w:val="009450DF"/>
    <w:rsid w:val="0095229E"/>
    <w:rsid w:val="009606A2"/>
    <w:rsid w:val="00960D9F"/>
    <w:rsid w:val="00971F95"/>
    <w:rsid w:val="00986D9B"/>
    <w:rsid w:val="00987F6F"/>
    <w:rsid w:val="0099177A"/>
    <w:rsid w:val="009957C5"/>
    <w:rsid w:val="009B0B5D"/>
    <w:rsid w:val="009B4A77"/>
    <w:rsid w:val="009C0B3C"/>
    <w:rsid w:val="009D0620"/>
    <w:rsid w:val="009E35AD"/>
    <w:rsid w:val="009F22DF"/>
    <w:rsid w:val="009F5E2D"/>
    <w:rsid w:val="00A046FC"/>
    <w:rsid w:val="00A41BED"/>
    <w:rsid w:val="00A41D86"/>
    <w:rsid w:val="00A45D2D"/>
    <w:rsid w:val="00A47A5B"/>
    <w:rsid w:val="00A55837"/>
    <w:rsid w:val="00A66BAB"/>
    <w:rsid w:val="00A66E58"/>
    <w:rsid w:val="00A71536"/>
    <w:rsid w:val="00A75D26"/>
    <w:rsid w:val="00A90035"/>
    <w:rsid w:val="00A97CA4"/>
    <w:rsid w:val="00AA0B9E"/>
    <w:rsid w:val="00AA46D5"/>
    <w:rsid w:val="00AA7A58"/>
    <w:rsid w:val="00AB01F2"/>
    <w:rsid w:val="00AB150F"/>
    <w:rsid w:val="00AB7C68"/>
    <w:rsid w:val="00AC04B8"/>
    <w:rsid w:val="00AE7768"/>
    <w:rsid w:val="00AE7C73"/>
    <w:rsid w:val="00B03CD3"/>
    <w:rsid w:val="00B13028"/>
    <w:rsid w:val="00B20664"/>
    <w:rsid w:val="00B20CBF"/>
    <w:rsid w:val="00B56A62"/>
    <w:rsid w:val="00B72097"/>
    <w:rsid w:val="00B73691"/>
    <w:rsid w:val="00BA3255"/>
    <w:rsid w:val="00BC5FE7"/>
    <w:rsid w:val="00BC65D7"/>
    <w:rsid w:val="00BD2DA7"/>
    <w:rsid w:val="00BE0122"/>
    <w:rsid w:val="00BF3699"/>
    <w:rsid w:val="00C004B3"/>
    <w:rsid w:val="00C02D27"/>
    <w:rsid w:val="00C25E7F"/>
    <w:rsid w:val="00C27529"/>
    <w:rsid w:val="00C474FF"/>
    <w:rsid w:val="00C50F24"/>
    <w:rsid w:val="00C573B4"/>
    <w:rsid w:val="00C66B09"/>
    <w:rsid w:val="00C756D8"/>
    <w:rsid w:val="00C941D0"/>
    <w:rsid w:val="00CA048E"/>
    <w:rsid w:val="00CB7D60"/>
    <w:rsid w:val="00CC1E61"/>
    <w:rsid w:val="00CD79A4"/>
    <w:rsid w:val="00CE4292"/>
    <w:rsid w:val="00CE6844"/>
    <w:rsid w:val="00CF6E9E"/>
    <w:rsid w:val="00D06D5F"/>
    <w:rsid w:val="00D14637"/>
    <w:rsid w:val="00D32BB2"/>
    <w:rsid w:val="00D43A43"/>
    <w:rsid w:val="00D47BD6"/>
    <w:rsid w:val="00D50B2E"/>
    <w:rsid w:val="00D5635E"/>
    <w:rsid w:val="00D76275"/>
    <w:rsid w:val="00D80AD3"/>
    <w:rsid w:val="00D80DF3"/>
    <w:rsid w:val="00D957DE"/>
    <w:rsid w:val="00DA2BFC"/>
    <w:rsid w:val="00DB243C"/>
    <w:rsid w:val="00DB3F62"/>
    <w:rsid w:val="00DD472F"/>
    <w:rsid w:val="00DD5E2E"/>
    <w:rsid w:val="00DD6C4E"/>
    <w:rsid w:val="00DE7FBA"/>
    <w:rsid w:val="00E04C15"/>
    <w:rsid w:val="00E126B6"/>
    <w:rsid w:val="00E14A86"/>
    <w:rsid w:val="00E16C46"/>
    <w:rsid w:val="00E207A5"/>
    <w:rsid w:val="00E3170F"/>
    <w:rsid w:val="00E57B02"/>
    <w:rsid w:val="00E7294A"/>
    <w:rsid w:val="00E76EF3"/>
    <w:rsid w:val="00E77D6C"/>
    <w:rsid w:val="00E8435F"/>
    <w:rsid w:val="00E92B24"/>
    <w:rsid w:val="00EC08D5"/>
    <w:rsid w:val="00EC2358"/>
    <w:rsid w:val="00ED530E"/>
    <w:rsid w:val="00EE243D"/>
    <w:rsid w:val="00EE52A4"/>
    <w:rsid w:val="00F0767C"/>
    <w:rsid w:val="00F14333"/>
    <w:rsid w:val="00F1485B"/>
    <w:rsid w:val="00F225F4"/>
    <w:rsid w:val="00F309BD"/>
    <w:rsid w:val="00F31FF9"/>
    <w:rsid w:val="00F32805"/>
    <w:rsid w:val="00F4234E"/>
    <w:rsid w:val="00F441BF"/>
    <w:rsid w:val="00F557E1"/>
    <w:rsid w:val="00F65935"/>
    <w:rsid w:val="00F6651B"/>
    <w:rsid w:val="00F7102E"/>
    <w:rsid w:val="00F90DE6"/>
    <w:rsid w:val="00F9599B"/>
    <w:rsid w:val="00FA1A6B"/>
    <w:rsid w:val="00FA1FF2"/>
    <w:rsid w:val="00FA7D4D"/>
    <w:rsid w:val="00FB1875"/>
    <w:rsid w:val="00FB2403"/>
    <w:rsid w:val="00FC5AFA"/>
    <w:rsid w:val="00FE4946"/>
    <w:rsid w:val="00FE5B5E"/>
    <w:rsid w:val="00FF403A"/>
    <w:rsid w:val="00FF7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EB818B-2415-42BD-A2A7-D54DDCD2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EA7"/>
    <w:rPr>
      <w:sz w:val="24"/>
      <w:szCs w:val="24"/>
    </w:rPr>
  </w:style>
  <w:style w:type="paragraph" w:styleId="1">
    <w:name w:val="heading 1"/>
    <w:basedOn w:val="a"/>
    <w:next w:val="a"/>
    <w:qFormat/>
    <w:rsid w:val="00031EA7"/>
    <w:pPr>
      <w:keepNext/>
      <w:jc w:val="center"/>
      <w:outlineLvl w:val="0"/>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31EA7"/>
    <w:pPr>
      <w:ind w:firstLine="709"/>
      <w:jc w:val="both"/>
    </w:pPr>
  </w:style>
  <w:style w:type="paragraph" w:styleId="a4">
    <w:name w:val="Body Text"/>
    <w:basedOn w:val="a"/>
    <w:link w:val="a5"/>
    <w:rsid w:val="00031EA7"/>
    <w:pPr>
      <w:jc w:val="center"/>
    </w:pPr>
    <w:rPr>
      <w:sz w:val="28"/>
    </w:rPr>
  </w:style>
  <w:style w:type="paragraph" w:styleId="a6">
    <w:name w:val="header"/>
    <w:basedOn w:val="a"/>
    <w:link w:val="a7"/>
    <w:uiPriority w:val="99"/>
    <w:rsid w:val="00031EA7"/>
    <w:pPr>
      <w:tabs>
        <w:tab w:val="center" w:pos="4677"/>
        <w:tab w:val="right" w:pos="9355"/>
      </w:tabs>
    </w:pPr>
  </w:style>
  <w:style w:type="paragraph" w:styleId="2">
    <w:name w:val="Body Text Indent 2"/>
    <w:basedOn w:val="a"/>
    <w:rsid w:val="00031EA7"/>
    <w:pPr>
      <w:suppressAutoHyphens/>
      <w:ind w:firstLine="540"/>
      <w:jc w:val="both"/>
    </w:pPr>
    <w:rPr>
      <w:sz w:val="28"/>
    </w:rPr>
  </w:style>
  <w:style w:type="paragraph" w:styleId="a8">
    <w:name w:val="Block Text"/>
    <w:basedOn w:val="a"/>
    <w:rsid w:val="00031EA7"/>
    <w:pPr>
      <w:tabs>
        <w:tab w:val="left" w:pos="10260"/>
      </w:tabs>
      <w:suppressAutoHyphens/>
      <w:ind w:left="360" w:right="693" w:firstLine="540"/>
      <w:jc w:val="both"/>
    </w:pPr>
    <w:rPr>
      <w:sz w:val="28"/>
    </w:rPr>
  </w:style>
  <w:style w:type="paragraph" w:styleId="3">
    <w:name w:val="Body Text Indent 3"/>
    <w:basedOn w:val="a"/>
    <w:rsid w:val="00031EA7"/>
    <w:pPr>
      <w:tabs>
        <w:tab w:val="left" w:pos="10260"/>
      </w:tabs>
      <w:suppressAutoHyphens/>
      <w:ind w:right="513" w:firstLine="720"/>
      <w:jc w:val="both"/>
    </w:pPr>
    <w:rPr>
      <w:sz w:val="28"/>
      <w:szCs w:val="28"/>
    </w:rPr>
  </w:style>
  <w:style w:type="character" w:customStyle="1" w:styleId="a5">
    <w:name w:val="Основной текст Знак"/>
    <w:link w:val="a4"/>
    <w:rsid w:val="003D69DB"/>
    <w:rPr>
      <w:sz w:val="28"/>
      <w:szCs w:val="24"/>
    </w:rPr>
  </w:style>
  <w:style w:type="paragraph" w:customStyle="1" w:styleId="ConsPlusNormal">
    <w:name w:val="ConsPlusNormal"/>
    <w:rsid w:val="0048088B"/>
    <w:pPr>
      <w:autoSpaceDE w:val="0"/>
      <w:autoSpaceDN w:val="0"/>
      <w:adjustRightInd w:val="0"/>
    </w:pPr>
    <w:rPr>
      <w:rFonts w:eastAsia="Calibri"/>
      <w:sz w:val="28"/>
      <w:szCs w:val="28"/>
      <w:lang w:eastAsia="en-US"/>
    </w:rPr>
  </w:style>
  <w:style w:type="paragraph" w:styleId="a9">
    <w:name w:val="Balloon Text"/>
    <w:basedOn w:val="a"/>
    <w:link w:val="aa"/>
    <w:rsid w:val="0070601E"/>
    <w:rPr>
      <w:rFonts w:ascii="Tahoma" w:hAnsi="Tahoma"/>
      <w:sz w:val="16"/>
      <w:szCs w:val="16"/>
    </w:rPr>
  </w:style>
  <w:style w:type="character" w:customStyle="1" w:styleId="aa">
    <w:name w:val="Текст выноски Знак"/>
    <w:link w:val="a9"/>
    <w:rsid w:val="0070601E"/>
    <w:rPr>
      <w:rFonts w:ascii="Tahoma" w:hAnsi="Tahoma" w:cs="Tahoma"/>
      <w:sz w:val="16"/>
      <w:szCs w:val="16"/>
    </w:rPr>
  </w:style>
  <w:style w:type="paragraph" w:customStyle="1" w:styleId="ConsNonformat">
    <w:name w:val="ConsNonformat"/>
    <w:rsid w:val="002E4584"/>
    <w:pPr>
      <w:widowControl w:val="0"/>
    </w:pPr>
    <w:rPr>
      <w:rFonts w:ascii="Courier New" w:hAnsi="Courier New"/>
      <w:snapToGrid w:val="0"/>
    </w:rPr>
  </w:style>
  <w:style w:type="paragraph" w:styleId="ab">
    <w:name w:val="footer"/>
    <w:basedOn w:val="a"/>
    <w:link w:val="ac"/>
    <w:rsid w:val="00A41D86"/>
    <w:pPr>
      <w:tabs>
        <w:tab w:val="center" w:pos="4677"/>
        <w:tab w:val="right" w:pos="9355"/>
      </w:tabs>
    </w:pPr>
  </w:style>
  <w:style w:type="character" w:customStyle="1" w:styleId="ac">
    <w:name w:val="Нижний колонтитул Знак"/>
    <w:link w:val="ab"/>
    <w:rsid w:val="00A41D86"/>
    <w:rPr>
      <w:sz w:val="24"/>
      <w:szCs w:val="24"/>
    </w:rPr>
  </w:style>
  <w:style w:type="character" w:customStyle="1" w:styleId="a7">
    <w:name w:val="Верхний колонтитул Знак"/>
    <w:link w:val="a6"/>
    <w:uiPriority w:val="99"/>
    <w:rsid w:val="00A41D86"/>
    <w:rPr>
      <w:sz w:val="24"/>
      <w:szCs w:val="24"/>
    </w:rPr>
  </w:style>
  <w:style w:type="character" w:styleId="ad">
    <w:name w:val="Hyperlink"/>
    <w:basedOn w:val="a0"/>
    <w:unhideWhenUsed/>
    <w:rsid w:val="007B1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9702">
      <w:bodyDiv w:val="1"/>
      <w:marLeft w:val="0"/>
      <w:marRight w:val="0"/>
      <w:marTop w:val="0"/>
      <w:marBottom w:val="0"/>
      <w:divBdr>
        <w:top w:val="none" w:sz="0" w:space="0" w:color="auto"/>
        <w:left w:val="none" w:sz="0" w:space="0" w:color="auto"/>
        <w:bottom w:val="none" w:sz="0" w:space="0" w:color="auto"/>
        <w:right w:val="none" w:sz="0" w:space="0" w:color="auto"/>
      </w:divBdr>
    </w:div>
    <w:div w:id="15800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CA84A266053BF61D5B3159811B0F7A28FDD6E6C0030C66042B2F37A10CCC3BB4F178A557C814E835C125B7404d6o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4</Pages>
  <Words>1531</Words>
  <Characters>8729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Министерство экономики УР</Company>
  <LinksUpToDate>false</LinksUpToDate>
  <CharactersWithSpaces>10240</CharactersWithSpaces>
  <SharedDoc>false</SharedDoc>
  <HLinks>
    <vt:vector size="24" baseType="variant">
      <vt:variant>
        <vt:i4>4128871</vt:i4>
      </vt:variant>
      <vt:variant>
        <vt:i4>9</vt:i4>
      </vt:variant>
      <vt:variant>
        <vt:i4>0</vt:i4>
      </vt:variant>
      <vt:variant>
        <vt:i4>5</vt:i4>
      </vt:variant>
      <vt:variant>
        <vt:lpwstr>consultantplus://offline/ref=6AAEAC9269AF85B065DAC82A16BF6678A8DF5CE63997DE588A88BF18907D47AE4BBBF35BF8EE16E5y4m8H</vt:lpwstr>
      </vt:variant>
      <vt:variant>
        <vt:lpwstr/>
      </vt:variant>
      <vt:variant>
        <vt:i4>983127</vt:i4>
      </vt:variant>
      <vt:variant>
        <vt:i4>6</vt:i4>
      </vt:variant>
      <vt:variant>
        <vt:i4>0</vt:i4>
      </vt:variant>
      <vt:variant>
        <vt:i4>5</vt:i4>
      </vt:variant>
      <vt:variant>
        <vt:lpwstr>consultantplus://offline/ref=6AAEAC9269AF85B065DAC82A16BF6678A8DF58EF3D97DE588A88BF1890y7mDH</vt:lpwstr>
      </vt:variant>
      <vt:variant>
        <vt:lpwstr/>
      </vt:variant>
      <vt:variant>
        <vt:i4>655453</vt:i4>
      </vt:variant>
      <vt:variant>
        <vt:i4>3</vt:i4>
      </vt:variant>
      <vt:variant>
        <vt:i4>0</vt:i4>
      </vt:variant>
      <vt:variant>
        <vt:i4>5</vt:i4>
      </vt:variant>
      <vt:variant>
        <vt:lpwstr>consultantplus://offline/ref=6AAEAC9269AF85B065DAD62700D33870A9D506E23595DD07DED7E445C7744DF90CF4AA19BCE01EE44EDB87y2m4H</vt:lpwstr>
      </vt:variant>
      <vt:variant>
        <vt:lpwstr/>
      </vt:variant>
      <vt:variant>
        <vt:i4>655454</vt:i4>
      </vt:variant>
      <vt:variant>
        <vt:i4>0</vt:i4>
      </vt:variant>
      <vt:variant>
        <vt:i4>0</vt:i4>
      </vt:variant>
      <vt:variant>
        <vt:i4>5</vt:i4>
      </vt:variant>
      <vt:variant>
        <vt:lpwstr>consultantplus://offline/ref=6AAEAC9269AF85B065DAD62700D33870A9D506E23595DD07DED7E445C7744DF90CF4AA19BCE01EE44EDB86y2m6H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Бякова Р.Р.</dc:creator>
  <cp:lastModifiedBy>Синельник Татьяна Викторовна</cp:lastModifiedBy>
  <cp:revision>91</cp:revision>
  <cp:lastPrinted>2018-11-22T04:35:00Z</cp:lastPrinted>
  <dcterms:created xsi:type="dcterms:W3CDTF">2018-11-21T08:20:00Z</dcterms:created>
  <dcterms:modified xsi:type="dcterms:W3CDTF">2018-11-22T09:59:00Z</dcterms:modified>
</cp:coreProperties>
</file>