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732418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732418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Бюджетъя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вытъёсъя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8451E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</w:t>
            </w:r>
            <w:proofErr w:type="spellEnd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51EE">
              <w:rPr>
                <w:rFonts w:eastAsia="Times New Roman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732418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732418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1313F" w:rsidRDefault="00E1313F" w:rsidP="002A1B64">
      <w:pPr>
        <w:spacing w:after="0" w:line="240" w:lineRule="auto"/>
        <w:jc w:val="center"/>
      </w:pPr>
    </w:p>
    <w:p w:rsidR="00E47972" w:rsidRDefault="00E47972" w:rsidP="002A1B64">
      <w:pPr>
        <w:spacing w:after="0" w:line="240" w:lineRule="auto"/>
        <w:jc w:val="center"/>
      </w:pPr>
    </w:p>
    <w:p w:rsidR="0033795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ЗАКЛЮЧЕНИЕ</w:t>
      </w:r>
    </w:p>
    <w:p w:rsidR="00353543" w:rsidRDefault="00D338FE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на прое</w:t>
      </w:r>
      <w:r w:rsidR="003F4F5C">
        <w:rPr>
          <w:rFonts w:eastAsia="Times New Roman"/>
          <w:b/>
          <w:bCs/>
          <w:lang w:eastAsia="ru-RU"/>
        </w:rPr>
        <w:t>кт закона Удмуртской Республики</w:t>
      </w:r>
      <w:bookmarkStart w:id="0" w:name="_GoBack"/>
      <w:bookmarkEnd w:id="0"/>
      <w:r w:rsidR="00353543">
        <w:rPr>
          <w:rFonts w:eastAsia="Times New Roman"/>
          <w:b/>
          <w:bCs/>
          <w:lang w:eastAsia="ru-RU"/>
        </w:rPr>
        <w:t xml:space="preserve"> №</w:t>
      </w:r>
      <w:r w:rsidR="003F4F5C">
        <w:rPr>
          <w:rFonts w:eastAsia="Times New Roman"/>
          <w:b/>
          <w:bCs/>
          <w:lang w:eastAsia="ru-RU"/>
        </w:rPr>
        <w:t xml:space="preserve"> </w:t>
      </w:r>
      <w:r w:rsidR="00353543">
        <w:rPr>
          <w:rFonts w:eastAsia="Times New Roman"/>
          <w:b/>
          <w:bCs/>
          <w:lang w:eastAsia="ru-RU"/>
        </w:rPr>
        <w:t xml:space="preserve">4030-6зп </w:t>
      </w:r>
      <w:r w:rsidRPr="007955BC">
        <w:rPr>
          <w:rFonts w:eastAsia="Times New Roman"/>
          <w:b/>
          <w:bCs/>
          <w:lang w:eastAsia="ru-RU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DB5526">
        <w:rPr>
          <w:rFonts w:eastAsia="Times New Roman"/>
          <w:b/>
          <w:bCs/>
          <w:lang w:eastAsia="ru-RU"/>
        </w:rPr>
        <w:t>8</w:t>
      </w:r>
      <w:r w:rsidRPr="007955BC">
        <w:rPr>
          <w:rFonts w:eastAsia="Times New Roman"/>
          <w:b/>
          <w:bCs/>
          <w:lang w:eastAsia="ru-RU"/>
        </w:rPr>
        <w:t xml:space="preserve"> год</w:t>
      </w:r>
      <w:r w:rsidR="00682549" w:rsidRPr="007955BC">
        <w:rPr>
          <w:rFonts w:eastAsia="Times New Roman"/>
          <w:b/>
          <w:bCs/>
          <w:lang w:eastAsia="ru-RU"/>
        </w:rPr>
        <w:t xml:space="preserve"> и на плановый </w:t>
      </w:r>
    </w:p>
    <w:p w:rsidR="00682549" w:rsidRPr="007955BC" w:rsidRDefault="00682549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период 201</w:t>
      </w:r>
      <w:r w:rsidR="00DB5526">
        <w:rPr>
          <w:rFonts w:eastAsia="Times New Roman"/>
          <w:b/>
          <w:bCs/>
          <w:lang w:eastAsia="ru-RU"/>
        </w:rPr>
        <w:t>9</w:t>
      </w:r>
      <w:r w:rsidRPr="007955BC">
        <w:rPr>
          <w:rFonts w:eastAsia="Times New Roman"/>
          <w:b/>
          <w:bCs/>
          <w:lang w:eastAsia="ru-RU"/>
        </w:rPr>
        <w:t xml:space="preserve"> и 20</w:t>
      </w:r>
      <w:r w:rsidR="00DB5526">
        <w:rPr>
          <w:rFonts w:eastAsia="Times New Roman"/>
          <w:b/>
          <w:bCs/>
          <w:lang w:eastAsia="ru-RU"/>
        </w:rPr>
        <w:t>20</w:t>
      </w:r>
      <w:r w:rsidRPr="007955BC">
        <w:rPr>
          <w:rFonts w:eastAsia="Times New Roman"/>
          <w:b/>
          <w:bCs/>
          <w:lang w:eastAsia="ru-RU"/>
        </w:rPr>
        <w:t xml:space="preserve"> годов</w:t>
      </w:r>
      <w:r w:rsidR="00D338FE" w:rsidRPr="007955BC">
        <w:rPr>
          <w:rFonts w:eastAsia="Times New Roman"/>
          <w:b/>
          <w:bCs/>
          <w:lang w:eastAsia="ru-RU"/>
        </w:rPr>
        <w:t>»</w:t>
      </w:r>
    </w:p>
    <w:p w:rsidR="00F930B2" w:rsidRDefault="00F930B2" w:rsidP="0058036A">
      <w:pPr>
        <w:spacing w:after="0" w:line="240" w:lineRule="auto"/>
        <w:ind w:firstLine="709"/>
        <w:jc w:val="both"/>
      </w:pPr>
    </w:p>
    <w:p w:rsidR="0058036A" w:rsidRPr="007955BC" w:rsidRDefault="0058036A" w:rsidP="0058036A">
      <w:pPr>
        <w:spacing w:after="0" w:line="240" w:lineRule="auto"/>
        <w:ind w:firstLine="709"/>
        <w:jc w:val="both"/>
      </w:pPr>
    </w:p>
    <w:p w:rsidR="00D90B79" w:rsidRPr="007955BC" w:rsidRDefault="00F930B2" w:rsidP="000A0DA8">
      <w:pPr>
        <w:spacing w:after="0" w:line="288" w:lineRule="auto"/>
        <w:ind w:firstLine="709"/>
        <w:jc w:val="both"/>
      </w:pPr>
      <w:r w:rsidRPr="007955BC">
        <w:t>Постоянная комиссия Государственного Совета Удмуртской Республики по бюджету, налогам и финансам</w:t>
      </w:r>
      <w:r w:rsidR="001E7DA8" w:rsidRPr="007955BC">
        <w:t>,</w:t>
      </w:r>
      <w:r w:rsidRPr="007955BC">
        <w:t xml:space="preserve"> рассмотрев </w:t>
      </w:r>
      <w:r w:rsidR="00337955" w:rsidRPr="007955BC">
        <w:t xml:space="preserve">проект закона Удмуртской Республики </w:t>
      </w:r>
      <w:r w:rsidR="00353543">
        <w:t xml:space="preserve">№ 4030-6зп </w:t>
      </w:r>
      <w:r w:rsidR="00D338FE" w:rsidRPr="007955BC"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</w:t>
      </w:r>
      <w:r w:rsidR="00DB5526">
        <w:t>8</w:t>
      </w:r>
      <w:r w:rsidR="00D338FE" w:rsidRPr="007955BC">
        <w:t xml:space="preserve"> год</w:t>
      </w:r>
      <w:r w:rsidR="00682549" w:rsidRPr="007955BC">
        <w:t xml:space="preserve"> и на плановый период 201</w:t>
      </w:r>
      <w:r w:rsidR="00DB5526">
        <w:t>9</w:t>
      </w:r>
      <w:r w:rsidR="00682549" w:rsidRPr="007955BC">
        <w:t xml:space="preserve"> и 20</w:t>
      </w:r>
      <w:r w:rsidR="00DB5526">
        <w:t>20</w:t>
      </w:r>
      <w:r w:rsidR="00682549" w:rsidRPr="007955BC">
        <w:t xml:space="preserve"> годов</w:t>
      </w:r>
      <w:r w:rsidR="00D338FE" w:rsidRPr="007955BC">
        <w:t xml:space="preserve">» </w:t>
      </w:r>
      <w:r w:rsidR="005E65C6" w:rsidRPr="007955BC">
        <w:t>(далее – Проект</w:t>
      </w:r>
      <w:r w:rsidR="001C5830" w:rsidRPr="007955BC">
        <w:t xml:space="preserve"> закона</w:t>
      </w:r>
      <w:r w:rsidR="005E65C6" w:rsidRPr="007955BC">
        <w:t>)</w:t>
      </w:r>
      <w:r w:rsidRPr="007955BC">
        <w:t>, отмечает следующее.</w:t>
      </w:r>
    </w:p>
    <w:p w:rsidR="00370889" w:rsidRDefault="00682549" w:rsidP="000A0DA8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</w:pPr>
      <w:r w:rsidRPr="007955BC">
        <w:rPr>
          <w:rFonts w:eastAsia="Calibri"/>
        </w:rPr>
        <w:tab/>
        <w:t xml:space="preserve">Настоящим законопроектом предлагается внести изменения в доходную и расходную части бюджета </w:t>
      </w:r>
      <w:r w:rsidRPr="007955BC">
        <w:t>Территориального фонда обязательного медицинского страхования Удмуртской Республики</w:t>
      </w:r>
      <w:r w:rsidR="00883D5E" w:rsidRPr="007955BC">
        <w:t xml:space="preserve"> (далее </w:t>
      </w:r>
      <w:r w:rsidR="00745969" w:rsidRPr="007955BC">
        <w:t>–</w:t>
      </w:r>
      <w:r w:rsidR="00883D5E" w:rsidRPr="007955BC">
        <w:t xml:space="preserve"> Фонд)</w:t>
      </w:r>
      <w:r w:rsidRPr="007955BC">
        <w:t xml:space="preserve"> </w:t>
      </w:r>
      <w:r w:rsidRPr="007955BC">
        <w:rPr>
          <w:rFonts w:eastAsia="Calibri"/>
        </w:rPr>
        <w:t>на 201</w:t>
      </w:r>
      <w:r w:rsidR="00DB5526">
        <w:rPr>
          <w:rFonts w:eastAsia="Calibri"/>
        </w:rPr>
        <w:t>8</w:t>
      </w:r>
      <w:r w:rsidRPr="007955BC">
        <w:rPr>
          <w:rFonts w:eastAsia="Calibri"/>
        </w:rPr>
        <w:t xml:space="preserve"> год</w:t>
      </w:r>
      <w:r w:rsidR="00902B83">
        <w:rPr>
          <w:rFonts w:eastAsia="Calibri"/>
        </w:rPr>
        <w:t xml:space="preserve">. </w:t>
      </w:r>
      <w:r w:rsidR="00883D5E" w:rsidRPr="007955BC">
        <w:t>В результате изменяются основные характеристики бюджета Фонда</w:t>
      </w:r>
      <w:r w:rsidR="0016724D" w:rsidRPr="007955BC">
        <w:t xml:space="preserve"> на 201</w:t>
      </w:r>
      <w:r w:rsidR="00DB5526">
        <w:t>8</w:t>
      </w:r>
      <w:r w:rsidR="0016724D" w:rsidRPr="007955BC">
        <w:t xml:space="preserve"> год</w:t>
      </w:r>
      <w:r w:rsidR="00134A52" w:rsidRPr="007955BC">
        <w:t>.</w:t>
      </w:r>
      <w:r w:rsidR="00D51FF7">
        <w:t xml:space="preserve"> </w:t>
      </w:r>
    </w:p>
    <w:p w:rsidR="002F2713" w:rsidRDefault="002F2713" w:rsidP="000A0DA8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</w:pPr>
      <w:r w:rsidRPr="002F2713">
        <w:t>Бюджет Фонда на плановый период 2019 и 2020 годов не изменяется.</w:t>
      </w:r>
    </w:p>
    <w:p w:rsidR="008C104B" w:rsidRDefault="008C104B" w:rsidP="000A0DA8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  <w:rPr>
          <w:rFonts w:eastAsia="Calibri"/>
        </w:rPr>
      </w:pPr>
      <w:r w:rsidRPr="00D552BD">
        <w:rPr>
          <w:rFonts w:eastAsia="Calibri"/>
        </w:rPr>
        <w:t xml:space="preserve">Изменение основных характеристик бюджета </w:t>
      </w:r>
      <w:r w:rsidR="00D552BD" w:rsidRPr="00D552BD">
        <w:rPr>
          <w:rFonts w:eastAsia="Calibri"/>
        </w:rPr>
        <w:t>Фонда</w:t>
      </w:r>
      <w:r w:rsidRPr="00D552BD">
        <w:rPr>
          <w:rFonts w:eastAsia="Calibri"/>
        </w:rPr>
        <w:t xml:space="preserve"> на 2018 год приведено в следующей таблице</w:t>
      </w:r>
      <w:r w:rsidR="00D552BD">
        <w:rPr>
          <w:rFonts w:eastAsia="Calibri"/>
        </w:rPr>
        <w:t>.</w:t>
      </w:r>
    </w:p>
    <w:p w:rsidR="00353543" w:rsidRDefault="0035354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58036A" w:rsidRDefault="0058036A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353543" w:rsidRDefault="0035354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353543" w:rsidRDefault="0035354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353543" w:rsidRDefault="0035354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353543" w:rsidRDefault="0035354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</w:p>
    <w:p w:rsidR="00D552BD" w:rsidRPr="00D552BD" w:rsidRDefault="00D552BD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  <w:r>
        <w:rPr>
          <w:rFonts w:eastAsia="Calibri"/>
        </w:rPr>
        <w:lastRenderedPageBreak/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61"/>
        <w:gridCol w:w="1734"/>
        <w:gridCol w:w="1193"/>
        <w:gridCol w:w="1004"/>
      </w:tblGrid>
      <w:tr w:rsidR="008C104B" w:rsidRPr="00067ED7" w:rsidTr="00D552BD">
        <w:trPr>
          <w:trHeight w:val="154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Утверждено Законом о бюджете ТФОМС УР</w:t>
            </w:r>
            <w:r w:rsidR="00D552BD" w:rsidRPr="00D552BD">
              <w:rPr>
                <w:b/>
                <w:sz w:val="24"/>
                <w:szCs w:val="24"/>
              </w:rPr>
              <w:t xml:space="preserve"> </w:t>
            </w:r>
            <w:r w:rsidRPr="00D552BD">
              <w:rPr>
                <w:b/>
                <w:sz w:val="24"/>
                <w:szCs w:val="24"/>
              </w:rPr>
              <w:t>на 2018 год</w:t>
            </w:r>
            <w:r w:rsidR="00D552BD" w:rsidRPr="00D552BD">
              <w:rPr>
                <w:b/>
                <w:sz w:val="24"/>
                <w:szCs w:val="24"/>
              </w:rPr>
              <w:t xml:space="preserve">     </w:t>
            </w:r>
            <w:r w:rsidRPr="00D552BD">
              <w:rPr>
                <w:b/>
                <w:sz w:val="24"/>
                <w:szCs w:val="24"/>
              </w:rPr>
              <w:t xml:space="preserve">от 26.12.2017 </w:t>
            </w:r>
            <w:r w:rsidR="00D552BD" w:rsidRPr="00D552BD">
              <w:rPr>
                <w:b/>
                <w:sz w:val="24"/>
                <w:szCs w:val="24"/>
              </w:rPr>
              <w:t xml:space="preserve">               </w:t>
            </w:r>
            <w:r w:rsidRPr="00D552BD">
              <w:rPr>
                <w:b/>
                <w:sz w:val="24"/>
                <w:szCs w:val="24"/>
              </w:rPr>
              <w:t>№ 85-РЗ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Законопроект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 xml:space="preserve">Отклонение Законопроекта от утвержденного Закона УР </w:t>
            </w:r>
            <w:r w:rsidR="00D552BD" w:rsidRPr="00D552BD">
              <w:rPr>
                <w:b/>
                <w:sz w:val="24"/>
                <w:szCs w:val="24"/>
              </w:rPr>
              <w:t xml:space="preserve">            </w:t>
            </w:r>
            <w:r w:rsidRPr="00D552BD">
              <w:rPr>
                <w:b/>
                <w:sz w:val="24"/>
                <w:szCs w:val="24"/>
              </w:rPr>
              <w:t>№ 85-РЗ</w:t>
            </w:r>
          </w:p>
        </w:tc>
      </w:tr>
      <w:tr w:rsidR="008C104B" w:rsidRPr="00067ED7" w:rsidTr="00D552B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4B" w:rsidRPr="00D552BD" w:rsidRDefault="008C104B" w:rsidP="006848CC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(+ ;  -)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ind w:firstLine="18"/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%</w:t>
            </w:r>
          </w:p>
        </w:tc>
      </w:tr>
      <w:tr w:rsidR="008C104B" w:rsidRPr="0019628A" w:rsidTr="00D552BD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ind w:firstLine="54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Доходы бюджета ТФОМС всего</w:t>
            </w:r>
            <w:r w:rsidR="00D552BD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="00D552BD">
              <w:rPr>
                <w:b/>
                <w:sz w:val="24"/>
                <w:szCs w:val="24"/>
              </w:rPr>
              <w:t>т.ч</w:t>
            </w:r>
            <w:proofErr w:type="spellEnd"/>
            <w:r w:rsidR="00D552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bCs/>
                <w:color w:val="000000"/>
                <w:sz w:val="24"/>
                <w:szCs w:val="24"/>
              </w:rPr>
              <w:t>18 567 445,0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18 568 035,5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+ 590,5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D552BD">
            <w:pPr>
              <w:ind w:firstLine="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552BD">
              <w:rPr>
                <w:b/>
                <w:sz w:val="24"/>
                <w:szCs w:val="24"/>
              </w:rPr>
              <w:t>+0,003</w:t>
            </w:r>
          </w:p>
        </w:tc>
      </w:tr>
      <w:tr w:rsidR="008C104B" w:rsidRPr="000F398C" w:rsidTr="00D552BD">
        <w:trPr>
          <w:trHeight w:val="5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ind w:firstLine="54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2BD">
              <w:rPr>
                <w:bCs/>
                <w:color w:val="000000"/>
                <w:sz w:val="24"/>
                <w:szCs w:val="24"/>
              </w:rPr>
              <w:t>44 000,0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44 624,4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+624,4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ind w:firstLine="141"/>
              <w:jc w:val="center"/>
              <w:rPr>
                <w:sz w:val="24"/>
                <w:szCs w:val="24"/>
                <w:highlight w:val="yellow"/>
              </w:rPr>
            </w:pPr>
            <w:r w:rsidRPr="00D552BD">
              <w:rPr>
                <w:sz w:val="24"/>
                <w:szCs w:val="24"/>
              </w:rPr>
              <w:t>+1,4</w:t>
            </w:r>
          </w:p>
        </w:tc>
      </w:tr>
      <w:tr w:rsidR="008C104B" w:rsidRPr="000F398C" w:rsidTr="00D552BD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ind w:firstLine="54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52BD">
              <w:rPr>
                <w:bCs/>
                <w:color w:val="000000"/>
                <w:sz w:val="24"/>
                <w:szCs w:val="24"/>
              </w:rPr>
              <w:t>18 523 445,0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18 523 411,1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-33,9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ind w:firstLine="141"/>
              <w:jc w:val="center"/>
              <w:rPr>
                <w:sz w:val="24"/>
                <w:szCs w:val="24"/>
              </w:rPr>
            </w:pPr>
            <w:r w:rsidRPr="00D552BD">
              <w:rPr>
                <w:sz w:val="24"/>
                <w:szCs w:val="24"/>
              </w:rPr>
              <w:t>0,00</w:t>
            </w:r>
          </w:p>
        </w:tc>
      </w:tr>
      <w:tr w:rsidR="008C104B" w:rsidRPr="0019628A" w:rsidTr="00D552BD">
        <w:trPr>
          <w:trHeight w:val="55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D552BD" w:rsidP="00D552BD">
            <w:pPr>
              <w:ind w:firstLine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ТФОМС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bCs/>
                <w:color w:val="000000"/>
                <w:sz w:val="24"/>
                <w:szCs w:val="24"/>
              </w:rPr>
              <w:t>18 567 445,0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18 606 162,5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+38 717,6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4B" w:rsidRPr="00D552BD" w:rsidRDefault="008C104B" w:rsidP="006848CC">
            <w:pPr>
              <w:ind w:firstLine="141"/>
              <w:jc w:val="center"/>
              <w:rPr>
                <w:b/>
                <w:sz w:val="24"/>
                <w:szCs w:val="24"/>
                <w:highlight w:val="yellow"/>
              </w:rPr>
            </w:pPr>
            <w:r w:rsidRPr="00D552BD">
              <w:rPr>
                <w:b/>
                <w:sz w:val="24"/>
                <w:szCs w:val="24"/>
              </w:rPr>
              <w:t>+0,2</w:t>
            </w:r>
          </w:p>
        </w:tc>
      </w:tr>
      <w:tr w:rsidR="008C104B" w:rsidRPr="00D552BD" w:rsidTr="00D552BD">
        <w:trPr>
          <w:trHeight w:val="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D552BD">
            <w:pPr>
              <w:ind w:firstLine="54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 xml:space="preserve">Дефицит </w:t>
            </w:r>
            <w:proofErr w:type="gramStart"/>
            <w:r w:rsidRPr="00D552BD">
              <w:rPr>
                <w:b/>
                <w:sz w:val="24"/>
                <w:szCs w:val="24"/>
              </w:rPr>
              <w:t>( -</w:t>
            </w:r>
            <w:proofErr w:type="gramEnd"/>
            <w:r w:rsidRPr="00D552BD">
              <w:rPr>
                <w:b/>
                <w:sz w:val="24"/>
                <w:szCs w:val="24"/>
              </w:rPr>
              <w:t>), профицит (+)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2B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-38 127,0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jc w:val="center"/>
              <w:rPr>
                <w:b/>
                <w:sz w:val="24"/>
                <w:szCs w:val="24"/>
              </w:rPr>
            </w:pPr>
            <w:r w:rsidRPr="00D552BD">
              <w:rPr>
                <w:b/>
                <w:sz w:val="24"/>
                <w:szCs w:val="24"/>
              </w:rPr>
              <w:t>-38 127,0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B" w:rsidRPr="00D552BD" w:rsidRDefault="008C104B" w:rsidP="006848CC">
            <w:pPr>
              <w:ind w:firstLine="14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8C104B" w:rsidRDefault="008C104B" w:rsidP="00D97045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</w:pPr>
    </w:p>
    <w:p w:rsidR="00902B83" w:rsidRDefault="00902B8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F236A8" w:rsidRPr="00D97045">
        <w:t>оходную часть бюджета Фонда на 201</w:t>
      </w:r>
      <w:r w:rsidR="00F236A8">
        <w:t>8</w:t>
      </w:r>
      <w:r w:rsidR="00F236A8" w:rsidRPr="00D97045">
        <w:t xml:space="preserve"> год предлагается увеличить на </w:t>
      </w:r>
      <w:r>
        <w:t xml:space="preserve">общую </w:t>
      </w:r>
      <w:r w:rsidR="00F236A8" w:rsidRPr="00D97045">
        <w:t>сумму 5</w:t>
      </w:r>
      <w:r w:rsidR="00F236A8">
        <w:t>90</w:t>
      </w:r>
      <w:r w:rsidR="00F236A8" w:rsidRPr="00D97045">
        <w:t>,</w:t>
      </w:r>
      <w:r w:rsidR="00F236A8">
        <w:t>5</w:t>
      </w:r>
      <w:r w:rsidR="00F236A8" w:rsidRPr="00D97045">
        <w:t xml:space="preserve"> тыс. рублей</w:t>
      </w:r>
      <w:r w:rsidR="00F236A8">
        <w:t xml:space="preserve">, из </w:t>
      </w:r>
      <w:r w:rsidR="00F236A8" w:rsidRPr="00902B83">
        <w:t>них:</w:t>
      </w:r>
      <w:r w:rsidR="00F236A8" w:rsidRPr="00902B83">
        <w:rPr>
          <w:rFonts w:eastAsia="Calibri"/>
        </w:rPr>
        <w:t xml:space="preserve"> </w:t>
      </w:r>
    </w:p>
    <w:p w:rsidR="00623061" w:rsidRDefault="00623061" w:rsidP="00D552BD">
      <w:pPr>
        <w:pStyle w:val="a9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</w:pPr>
      <w:r w:rsidRPr="00902B83">
        <w:t xml:space="preserve"> </w:t>
      </w:r>
      <w:r w:rsidRPr="00623061">
        <w:t>на 624,4 тыс. руб</w:t>
      </w:r>
      <w:r>
        <w:t>лей</w:t>
      </w:r>
      <w:r w:rsidRPr="00623061">
        <w:t xml:space="preserve"> </w:t>
      </w:r>
      <w:r>
        <w:t xml:space="preserve">предусмотрено </w:t>
      </w:r>
      <w:r w:rsidRPr="00623061">
        <w:t>увеличен</w:t>
      </w:r>
      <w:r>
        <w:t>ие с</w:t>
      </w:r>
      <w:r w:rsidRPr="00623061">
        <w:t>тать</w:t>
      </w:r>
      <w:r>
        <w:t>и</w:t>
      </w:r>
      <w:r w:rsidRPr="00623061">
        <w:t xml:space="preserve"> «Налоговые и неналоговые доходы» исходя из фактического поступления за 2 месяца 2018 года штрафов, санкций и иных сумм в возмещение ущерба</w:t>
      </w:r>
      <w:r>
        <w:t>;</w:t>
      </w:r>
    </w:p>
    <w:p w:rsidR="00442C96" w:rsidRDefault="00623061" w:rsidP="00D552BD">
      <w:pPr>
        <w:pStyle w:val="a9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</w:pPr>
      <w:r>
        <w:t xml:space="preserve">на </w:t>
      </w:r>
      <w:r w:rsidRPr="00902B83">
        <w:t xml:space="preserve">(-)33,9 тыс. рублей </w:t>
      </w:r>
      <w:r>
        <w:t xml:space="preserve">предусмотрена </w:t>
      </w:r>
      <w:r w:rsidR="00F236A8" w:rsidRPr="00902B83">
        <w:t>корректировк</w:t>
      </w:r>
      <w:r>
        <w:t>а</w:t>
      </w:r>
      <w:r w:rsidR="00F236A8" w:rsidRPr="00902B83">
        <w:t xml:space="preserve"> </w:t>
      </w:r>
      <w:r w:rsidR="00FD5E87">
        <w:t xml:space="preserve">статьи </w:t>
      </w:r>
      <w:r w:rsidR="00FD5E87" w:rsidRPr="00FD5E87">
        <w:t>«Безвозмездные поступления»</w:t>
      </w:r>
      <w:r w:rsidR="00134A52" w:rsidRPr="00902B83">
        <w:t xml:space="preserve"> </w:t>
      </w:r>
      <w:r w:rsidR="00442C96">
        <w:t>(за счё</w:t>
      </w:r>
      <w:r w:rsidR="00442C96" w:rsidRPr="00902B83">
        <w:t xml:space="preserve">т возврата остатков </w:t>
      </w:r>
      <w:r w:rsidR="00D51FF7">
        <w:t xml:space="preserve">неиспользованных </w:t>
      </w:r>
      <w:r w:rsidR="00442C96" w:rsidRPr="00902B83">
        <w:t>целевых средств)</w:t>
      </w:r>
      <w:r w:rsidR="00442C96">
        <w:t>, в том числе за счёт добавления следующих статей доходов:</w:t>
      </w:r>
    </w:p>
    <w:p w:rsidR="00537A94" w:rsidRDefault="00442C96" w:rsidP="00D552BD">
      <w:pPr>
        <w:pStyle w:val="a9"/>
        <w:tabs>
          <w:tab w:val="left" w:pos="1134"/>
        </w:tabs>
        <w:spacing w:after="0" w:line="288" w:lineRule="auto"/>
        <w:ind w:left="0" w:firstLine="709"/>
        <w:jc w:val="both"/>
      </w:pPr>
      <w:r>
        <w:t xml:space="preserve">–  </w:t>
      </w:r>
      <w:r w:rsidRPr="00442C96">
        <w:t>«Доходы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лет»</w:t>
      </w:r>
      <w:r w:rsidR="005B6B0E">
        <w:t xml:space="preserve"> </w:t>
      </w:r>
      <w:r w:rsidR="005B6B0E" w:rsidRPr="005B6B0E">
        <w:t>в сумме 7</w:t>
      </w:r>
      <w:r w:rsidR="005B6B0E">
        <w:t>11,4 тыс. рублей (</w:t>
      </w:r>
      <w:r w:rsidR="005B6B0E" w:rsidRPr="005B6B0E">
        <w:t xml:space="preserve">возврат от </w:t>
      </w:r>
      <w:r w:rsidR="005B6B0E">
        <w:t xml:space="preserve">Министерства здравоохранения Удмуртской </w:t>
      </w:r>
      <w:r w:rsidR="005B6B0E" w:rsidRPr="005B6B0E">
        <w:t>Ре</w:t>
      </w:r>
      <w:r w:rsidR="005B6B0E">
        <w:t>спублики</w:t>
      </w:r>
      <w:r w:rsidR="005B6B0E" w:rsidRPr="005B6B0E">
        <w:t xml:space="preserve"> единовременных компенсационных выплат, выплаченных медицинским работникам в 2011-2016 годах, с которыми был прекращен трудовой договор, (часть 12.2 ст.51 Федерального закона от 29.11.2010 №326-ФЗ «Об обязательном медицинском страховании в Российской Федерации»</w:t>
      </w:r>
      <w:r w:rsidR="005B6B0E">
        <w:t>);</w:t>
      </w:r>
    </w:p>
    <w:p w:rsidR="00D51FF7" w:rsidRDefault="005B6B0E" w:rsidP="00D552BD">
      <w:pPr>
        <w:pStyle w:val="a9"/>
        <w:tabs>
          <w:tab w:val="left" w:pos="1134"/>
        </w:tabs>
        <w:spacing w:after="0" w:line="288" w:lineRule="auto"/>
        <w:ind w:left="0" w:firstLine="709"/>
        <w:jc w:val="both"/>
      </w:pPr>
      <w:r>
        <w:t xml:space="preserve">– </w:t>
      </w:r>
      <w:r w:rsidRPr="005B6B0E">
        <w:t xml:space="preserve">«Возврат остатков субсидий, субвенций и иных межбюджетных трансфертов, имеющих целевое назначение, прошлых лет из бюджетов </w:t>
      </w:r>
      <w:r w:rsidRPr="005B6B0E">
        <w:lastRenderedPageBreak/>
        <w:t>территориальных фондов обязательного медицинского страхования» в сумме (</w:t>
      </w:r>
      <w:r>
        <w:t>-</w:t>
      </w:r>
      <w:r w:rsidRPr="005B6B0E">
        <w:t>)745,3 тыс. рублей</w:t>
      </w:r>
      <w:r w:rsidR="00D51FF7">
        <w:t xml:space="preserve"> по следующим направлениям расходов:</w:t>
      </w:r>
    </w:p>
    <w:p w:rsidR="00D51FF7" w:rsidRPr="00D51FF7" w:rsidRDefault="00D51FF7" w:rsidP="00D552BD">
      <w:pPr>
        <w:pStyle w:val="a9"/>
        <w:numPr>
          <w:ilvl w:val="0"/>
          <w:numId w:val="8"/>
        </w:numPr>
        <w:tabs>
          <w:tab w:val="left" w:pos="851"/>
          <w:tab w:val="left" w:pos="9360"/>
        </w:tabs>
        <w:spacing w:after="0" w:line="288" w:lineRule="auto"/>
        <w:ind w:left="0" w:firstLine="360"/>
        <w:jc w:val="both"/>
        <w:rPr>
          <w:rFonts w:eastAsia="Calibri"/>
        </w:rPr>
      </w:pPr>
      <w:r w:rsidRPr="00D51FF7">
        <w:rPr>
          <w:rFonts w:eastAsia="Calibri"/>
        </w:rPr>
        <w:t>возврат остатков межбюджетных трансфертов прошлых лет на</w:t>
      </w:r>
      <w:r w:rsidRPr="00D51FF7">
        <w:rPr>
          <w:rFonts w:eastAsia="Calibri"/>
        </w:rPr>
        <w:br/>
        <w:t>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 в сумме</w:t>
      </w:r>
      <w:r w:rsidR="00A743A3">
        <w:rPr>
          <w:rFonts w:eastAsia="Calibri"/>
        </w:rPr>
        <w:t xml:space="preserve">     </w:t>
      </w:r>
      <w:proofErr w:type="gramStart"/>
      <w:r w:rsidR="00A743A3">
        <w:rPr>
          <w:rFonts w:eastAsia="Calibri"/>
        </w:rPr>
        <w:t xml:space="preserve">  </w:t>
      </w:r>
      <w:r w:rsidRPr="00D51FF7">
        <w:rPr>
          <w:rFonts w:eastAsia="Calibri"/>
        </w:rPr>
        <w:t xml:space="preserve"> (</w:t>
      </w:r>
      <w:proofErr w:type="gramEnd"/>
      <w:r w:rsidRPr="00D51FF7">
        <w:rPr>
          <w:rFonts w:eastAsia="Calibri"/>
        </w:rPr>
        <w:t>-)718,0 тыс. рублей – часть единовременных ко</w:t>
      </w:r>
      <w:r w:rsidR="00717E0E">
        <w:rPr>
          <w:rFonts w:eastAsia="Calibri"/>
        </w:rPr>
        <w:t>мпенсационных выплат, осуществлё</w:t>
      </w:r>
      <w:r w:rsidRPr="00D51FF7">
        <w:rPr>
          <w:rFonts w:eastAsia="Calibri"/>
        </w:rPr>
        <w:t>нных медицинским работникам в 2011-2016 годах, с которыми был прекращен трудовой договор;</w:t>
      </w:r>
    </w:p>
    <w:p w:rsidR="00D51FF7" w:rsidRPr="00D51FF7" w:rsidRDefault="00D51FF7" w:rsidP="00D552BD">
      <w:pPr>
        <w:pStyle w:val="a9"/>
        <w:numPr>
          <w:ilvl w:val="0"/>
          <w:numId w:val="8"/>
        </w:numPr>
        <w:tabs>
          <w:tab w:val="left" w:pos="851"/>
          <w:tab w:val="left" w:pos="9360"/>
        </w:tabs>
        <w:spacing w:after="0" w:line="288" w:lineRule="auto"/>
        <w:ind w:left="0" w:firstLine="360"/>
        <w:jc w:val="both"/>
        <w:rPr>
          <w:rFonts w:eastAsia="Calibri"/>
        </w:rPr>
      </w:pPr>
      <w:r w:rsidRPr="00D51FF7">
        <w:rPr>
          <w:rFonts w:eastAsia="Calibri"/>
        </w:rPr>
        <w:t>возврат остатков субсидий, субвенций и иных межбюджетных</w:t>
      </w:r>
      <w:r w:rsidRPr="00D51FF7">
        <w:rPr>
          <w:rFonts w:eastAsia="Calibri"/>
        </w:rPr>
        <w:br/>
        <w:t>трансфертов, имеющих целевое назначение, прошлых лет из бюджетов</w:t>
      </w:r>
      <w:r w:rsidRPr="00D51FF7">
        <w:rPr>
          <w:rFonts w:eastAsia="Calibri"/>
        </w:rPr>
        <w:br/>
        <w:t xml:space="preserve">территориальных фондов обязательного медицинского страхования в бюджеты территориальных фондов обязательного медицинского страхования в сумме (-) 27,3 тыс. рублей – возвращено в бюджет территориального фонда </w:t>
      </w:r>
      <w:r w:rsidR="00717E0E">
        <w:rPr>
          <w:rFonts w:eastAsia="Calibri"/>
        </w:rPr>
        <w:t>обязательного медицинского страхования</w:t>
      </w:r>
      <w:r w:rsidRPr="00D51FF7">
        <w:rPr>
          <w:rFonts w:eastAsia="Calibri"/>
        </w:rPr>
        <w:t xml:space="preserve"> другого субъекта Российской Федерации по результатам контроля.</w:t>
      </w:r>
    </w:p>
    <w:p w:rsidR="00134A52" w:rsidRDefault="00134A52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</w:pPr>
      <w:r w:rsidRPr="005E1D83">
        <w:t>С учётом вносимых изменений прогнозируемый общий объ</w:t>
      </w:r>
      <w:r w:rsidR="00613154">
        <w:t>ё</w:t>
      </w:r>
      <w:r w:rsidRPr="005E1D83">
        <w:t>м доходов бюджета Территориального фонда обязательного медицинского страхования Удмуртской Республики на 201</w:t>
      </w:r>
      <w:r w:rsidR="00BA5072" w:rsidRPr="005E1D83">
        <w:t>8</w:t>
      </w:r>
      <w:r w:rsidRPr="005E1D83">
        <w:t xml:space="preserve"> год составит 1</w:t>
      </w:r>
      <w:r w:rsidR="00BA5072" w:rsidRPr="005E1D83">
        <w:t>8</w:t>
      </w:r>
      <w:r w:rsidRPr="005E1D83">
        <w:t> </w:t>
      </w:r>
      <w:r w:rsidR="00BA5072" w:rsidRPr="005E1D83">
        <w:t>5</w:t>
      </w:r>
      <w:r w:rsidRPr="005E1D83">
        <w:t>6</w:t>
      </w:r>
      <w:r w:rsidR="00BA5072" w:rsidRPr="005E1D83">
        <w:t>8 035,5</w:t>
      </w:r>
      <w:r w:rsidRPr="005E1D83">
        <w:rPr>
          <w:b/>
          <w:color w:val="000000"/>
        </w:rPr>
        <w:t xml:space="preserve"> </w:t>
      </w:r>
      <w:r w:rsidRPr="005E1D83">
        <w:t>тыс. рублей</w:t>
      </w:r>
      <w:r w:rsidR="00072883" w:rsidRPr="005E1D83">
        <w:t xml:space="preserve">, в том числе налоговые и неналоговые доходы Фонда – </w:t>
      </w:r>
      <w:r w:rsidR="005E1D83" w:rsidRPr="005E1D83">
        <w:t>44 624,0</w:t>
      </w:r>
      <w:r w:rsidR="00072883" w:rsidRPr="005E1D83">
        <w:t xml:space="preserve"> тыс. рублей, </w:t>
      </w:r>
      <w:r w:rsidR="00151FD6" w:rsidRPr="005E1D83">
        <w:t xml:space="preserve">безвозмездные поступления – </w:t>
      </w:r>
      <w:r w:rsidR="005E1D83" w:rsidRPr="005E1D83">
        <w:t>18 523 411,1</w:t>
      </w:r>
      <w:r w:rsidR="00151FD6" w:rsidRPr="005E1D83">
        <w:t xml:space="preserve"> тыс. рублей</w:t>
      </w:r>
      <w:r w:rsidRPr="005E1D83">
        <w:t xml:space="preserve">. </w:t>
      </w:r>
    </w:p>
    <w:p w:rsidR="005E1D83" w:rsidRPr="005E1D83" w:rsidRDefault="005E1D83" w:rsidP="00D552BD">
      <w:pPr>
        <w:pStyle w:val="a9"/>
        <w:tabs>
          <w:tab w:val="left" w:pos="720"/>
          <w:tab w:val="left" w:pos="9360"/>
        </w:tabs>
        <w:spacing w:after="0" w:line="288" w:lineRule="auto"/>
        <w:ind w:left="0" w:firstLine="709"/>
        <w:jc w:val="both"/>
      </w:pPr>
      <w:r>
        <w:t>Изменени</w:t>
      </w:r>
      <w:r w:rsidR="00DD0D94">
        <w:t>е</w:t>
      </w:r>
      <w:r>
        <w:t xml:space="preserve"> доходной части бюджета </w:t>
      </w:r>
      <w:r w:rsidR="00A02760">
        <w:t xml:space="preserve">Фонда </w:t>
      </w:r>
      <w:r>
        <w:t>представлен</w:t>
      </w:r>
      <w:r w:rsidR="00DD0D94">
        <w:t>о в</w:t>
      </w:r>
      <w:r w:rsidR="00A02760">
        <w:t xml:space="preserve"> следующей таблице.</w:t>
      </w:r>
    </w:p>
    <w:p w:rsidR="00F236A8" w:rsidRPr="00F236A8" w:rsidRDefault="00F236A8" w:rsidP="00F236A8">
      <w:pPr>
        <w:spacing w:after="0" w:line="240" w:lineRule="auto"/>
        <w:jc w:val="right"/>
        <w:rPr>
          <w:rFonts w:eastAsia="Times New Roman"/>
          <w:color w:val="000000"/>
          <w:lang w:val="en-US" w:eastAsia="ru-RU"/>
        </w:rPr>
      </w:pPr>
      <w:r w:rsidRPr="00F236A8">
        <w:rPr>
          <w:rFonts w:eastAsia="Times New Roman"/>
          <w:sz w:val="24"/>
          <w:szCs w:val="24"/>
          <w:lang w:eastAsia="ru-RU"/>
        </w:rPr>
        <w:t xml:space="preserve">          </w:t>
      </w:r>
      <w:r w:rsidRPr="00F236A8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Pr="00F236A8">
        <w:rPr>
          <w:rFonts w:eastAsia="Times New Roman"/>
          <w:bCs/>
          <w:lang w:eastAsia="ru-RU"/>
        </w:rPr>
        <w:t>тыс. руб.</w:t>
      </w:r>
    </w:p>
    <w:tbl>
      <w:tblPr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700"/>
        <w:gridCol w:w="1700"/>
        <w:gridCol w:w="851"/>
        <w:gridCol w:w="1700"/>
      </w:tblGrid>
      <w:tr w:rsidR="00F236A8" w:rsidRPr="00F236A8" w:rsidTr="0038268F">
        <w:trPr>
          <w:trHeight w:val="285"/>
          <w:tblHeader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дохода</w:t>
            </w:r>
          </w:p>
          <w:p w:rsidR="00F236A8" w:rsidRPr="00F236A8" w:rsidRDefault="00F236A8" w:rsidP="00F236A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  <w:p w:rsidR="00F236A8" w:rsidRPr="00F236A8" w:rsidRDefault="00F236A8" w:rsidP="00F236A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  <w:p w:rsidR="00F236A8" w:rsidRPr="00F236A8" w:rsidRDefault="00F236A8" w:rsidP="00F236A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Фонда на 2018 год в редакции закона от 26.12.2017 года </w:t>
            </w:r>
          </w:p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№ 85-РЗ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236A8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Бюджет Фонда на 2018 год согласно законопроекту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>Темп роста (снижения),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6A8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Для справки:</w:t>
            </w:r>
            <w:r w:rsidRPr="00F236A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фактическое исполнение бюджета Фонда за 2017 год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44 624,0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116 122,0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42 500,0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42 500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37 894,6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2 124,4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78 226,4</w:t>
            </w:r>
          </w:p>
        </w:tc>
      </w:tr>
      <w:tr w:rsidR="00F236A8" w:rsidRPr="00F236A8" w:rsidTr="0038268F">
        <w:trPr>
          <w:trHeight w:val="3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18 523 445,0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18 523 411,1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15 347 095,1</w:t>
            </w:r>
          </w:p>
        </w:tc>
      </w:tr>
      <w:tr w:rsidR="00F236A8" w:rsidRPr="00F236A8" w:rsidTr="0038268F">
        <w:trPr>
          <w:trHeight w:val="3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18 523 445,0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18 523 445,0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15 360 843,1</w:t>
            </w:r>
          </w:p>
        </w:tc>
      </w:tr>
      <w:tr w:rsidR="00F236A8" w:rsidRPr="00F236A8" w:rsidTr="0038268F">
        <w:trPr>
          <w:trHeight w:val="3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18 523 445,0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18 523 445,0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15 360 843,1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ОМС на территориях </w:t>
            </w:r>
            <w:proofErr w:type="gramStart"/>
            <w:r w:rsidRPr="00571B91">
              <w:rPr>
                <w:rFonts w:eastAsia="Times New Roman"/>
                <w:sz w:val="24"/>
                <w:szCs w:val="24"/>
                <w:lang w:eastAsia="ru-RU"/>
              </w:rPr>
              <w:t>субъектов  РФ</w:t>
            </w:r>
            <w:proofErr w:type="gramEnd"/>
            <w:r w:rsidRPr="00571B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18 248 445,0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18 248 445,0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15 076 946,8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территориальных фондов ОМС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275 000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275 000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sz w:val="24"/>
                <w:szCs w:val="24"/>
                <w:lang w:eastAsia="ru-RU"/>
              </w:rPr>
              <w:t>238 296,3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b/>
                <w:sz w:val="24"/>
                <w:szCs w:val="24"/>
                <w:lang w:eastAsia="ru-RU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1 581,7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571B91" w:rsidRDefault="00F236A8" w:rsidP="00F236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1B91">
              <w:rPr>
                <w:rFonts w:eastAsia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-745,3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-15 329,7</w:t>
            </w:r>
          </w:p>
        </w:tc>
      </w:tr>
      <w:tr w:rsidR="00F236A8" w:rsidRPr="00F236A8" w:rsidTr="0038268F">
        <w:trPr>
          <w:trHeight w:val="3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18 567 445,0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18 568 035,5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A8" w:rsidRPr="00F236A8" w:rsidRDefault="00F236A8" w:rsidP="00F236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36A8">
              <w:rPr>
                <w:rFonts w:eastAsia="Times New Roman"/>
                <w:b/>
                <w:sz w:val="24"/>
                <w:szCs w:val="24"/>
                <w:lang w:eastAsia="ru-RU"/>
              </w:rPr>
              <w:t>15 463 217,1</w:t>
            </w:r>
          </w:p>
        </w:tc>
      </w:tr>
    </w:tbl>
    <w:p w:rsidR="00F236A8" w:rsidRDefault="00F236A8" w:rsidP="003211FE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F87A02" w:rsidRPr="00683F82" w:rsidRDefault="00F87A02" w:rsidP="00683F8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</w:pPr>
      <w:r w:rsidRPr="00683F82">
        <w:t>Данные изменения отражен</w:t>
      </w:r>
      <w:r w:rsidR="00A743A3">
        <w:t>ы</w:t>
      </w:r>
      <w:r w:rsidRPr="00683F82">
        <w:t xml:space="preserve"> в Приложении № 2 к </w:t>
      </w:r>
      <w:r w:rsidR="00442C96" w:rsidRPr="00683F82">
        <w:t xml:space="preserve">Закону Удмуртской Республики «О бюджете Территориального фонда обязательного медицинского страхования Удмуртской Республики на 2018 год и на плановый период 2019 и 2020 годов» (далее – </w:t>
      </w:r>
      <w:r w:rsidRPr="00683F82">
        <w:t>Закон</w:t>
      </w:r>
      <w:r w:rsidR="00442C96" w:rsidRPr="00683F82">
        <w:t>).</w:t>
      </w:r>
    </w:p>
    <w:p w:rsidR="0038268F" w:rsidRPr="00683F82" w:rsidRDefault="006D24FF" w:rsidP="00683F82">
      <w:pPr>
        <w:autoSpaceDE w:val="0"/>
        <w:autoSpaceDN w:val="0"/>
        <w:adjustRightInd w:val="0"/>
        <w:spacing w:after="0" w:line="288" w:lineRule="auto"/>
        <w:ind w:firstLine="709"/>
        <w:jc w:val="both"/>
      </w:pPr>
      <w:r w:rsidRPr="00683F82">
        <w:t>Р</w:t>
      </w:r>
      <w:r w:rsidR="005E5C3C" w:rsidRPr="00683F82">
        <w:t xml:space="preserve">асходную часть бюджета Фонда предлагается </w:t>
      </w:r>
      <w:r w:rsidRPr="00683F82">
        <w:t xml:space="preserve">увеличить </w:t>
      </w:r>
      <w:r w:rsidR="005E5C3C" w:rsidRPr="00683F82">
        <w:t xml:space="preserve">на </w:t>
      </w:r>
      <w:r w:rsidRPr="00683F82">
        <w:t>сумм</w:t>
      </w:r>
      <w:r w:rsidR="008C104B" w:rsidRPr="00683F82">
        <w:t xml:space="preserve"> </w:t>
      </w:r>
      <w:r w:rsidR="00A131BA" w:rsidRPr="00683F82">
        <w:t xml:space="preserve">38 717,6 тыс. рублей. </w:t>
      </w:r>
      <w:r w:rsidR="00915E4A" w:rsidRPr="00683F82">
        <w:rPr>
          <w:rFonts w:eastAsia="Calibri"/>
          <w:color w:val="000000"/>
        </w:rPr>
        <w:t>Прогнозируемый общий объ</w:t>
      </w:r>
      <w:r w:rsidR="00A131BA" w:rsidRPr="00683F82">
        <w:rPr>
          <w:rFonts w:eastAsia="Calibri"/>
          <w:color w:val="000000"/>
        </w:rPr>
        <w:t>ё</w:t>
      </w:r>
      <w:r w:rsidR="00915E4A" w:rsidRPr="00683F82">
        <w:rPr>
          <w:rFonts w:eastAsia="Calibri"/>
          <w:color w:val="000000"/>
        </w:rPr>
        <w:t xml:space="preserve">м расходов </w:t>
      </w:r>
      <w:r w:rsidR="00C34D8A" w:rsidRPr="00683F82">
        <w:rPr>
          <w:rFonts w:eastAsia="Calibri"/>
          <w:color w:val="000000"/>
        </w:rPr>
        <w:t>составит</w:t>
      </w:r>
      <w:r w:rsidR="00A131BA" w:rsidRPr="00683F82">
        <w:rPr>
          <w:rFonts w:eastAsia="Calibri"/>
          <w:color w:val="000000"/>
        </w:rPr>
        <w:t xml:space="preserve">                </w:t>
      </w:r>
      <w:r w:rsidR="00E920D4" w:rsidRPr="00683F82">
        <w:rPr>
          <w:rFonts w:eastAsia="Calibri"/>
          <w:color w:val="000000"/>
        </w:rPr>
        <w:t xml:space="preserve"> </w:t>
      </w:r>
      <w:r w:rsidR="00A131BA" w:rsidRPr="00683F82">
        <w:rPr>
          <w:rFonts w:eastAsia="Calibri"/>
        </w:rPr>
        <w:t>18 606 162,6</w:t>
      </w:r>
      <w:r w:rsidR="000A59DB" w:rsidRPr="00683F82">
        <w:rPr>
          <w:rFonts w:eastAsia="Calibri"/>
        </w:rPr>
        <w:t xml:space="preserve"> </w:t>
      </w:r>
      <w:r w:rsidR="00C34D8A" w:rsidRPr="00683F82">
        <w:rPr>
          <w:rFonts w:eastAsia="Calibri"/>
          <w:color w:val="000000"/>
        </w:rPr>
        <w:t>тыс. рублей</w:t>
      </w:r>
      <w:r w:rsidRPr="00683F82">
        <w:t>.</w:t>
      </w:r>
      <w:r w:rsidR="0083517C" w:rsidRPr="00683F82">
        <w:t xml:space="preserve"> </w:t>
      </w:r>
    </w:p>
    <w:p w:rsidR="0038268F" w:rsidRPr="00683F82" w:rsidRDefault="0038268F" w:rsidP="00683F82">
      <w:pPr>
        <w:autoSpaceDE w:val="0"/>
        <w:autoSpaceDN w:val="0"/>
        <w:adjustRightInd w:val="0"/>
        <w:spacing w:after="0" w:line="288" w:lineRule="auto"/>
        <w:ind w:firstLine="709"/>
        <w:jc w:val="both"/>
      </w:pPr>
      <w:r w:rsidRPr="00683F82">
        <w:lastRenderedPageBreak/>
        <w:t>Изменение расходной части бюджета Фонда представлено в следующей таблице.</w:t>
      </w:r>
    </w:p>
    <w:p w:rsidR="0038268F" w:rsidRPr="00683F82" w:rsidRDefault="0038268F" w:rsidP="0038268F">
      <w:pPr>
        <w:autoSpaceDE w:val="0"/>
        <w:autoSpaceDN w:val="0"/>
        <w:adjustRightInd w:val="0"/>
        <w:spacing w:after="0" w:line="288" w:lineRule="auto"/>
        <w:ind w:firstLine="709"/>
        <w:jc w:val="right"/>
      </w:pPr>
      <w:r w:rsidRPr="00683F82">
        <w:t>тыс. руб.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1701"/>
        <w:gridCol w:w="993"/>
        <w:gridCol w:w="1701"/>
      </w:tblGrid>
      <w:tr w:rsidR="0038268F" w:rsidTr="00571B91">
        <w:trPr>
          <w:cantSplit/>
          <w:trHeight w:val="2446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  <w:p w:rsidR="0038268F" w:rsidRPr="00683F82" w:rsidRDefault="0038268F">
            <w:pPr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</w:rPr>
              <w:t> </w:t>
            </w:r>
          </w:p>
          <w:p w:rsidR="0038268F" w:rsidRPr="00683F82" w:rsidRDefault="0038268F">
            <w:pPr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</w:rPr>
              <w:t> </w:t>
            </w:r>
          </w:p>
          <w:p w:rsidR="0038268F" w:rsidRPr="00683F82" w:rsidRDefault="0038268F">
            <w:pPr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F" w:rsidRPr="00683F82" w:rsidRDefault="0038268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3F82">
              <w:rPr>
                <w:b/>
                <w:bCs/>
              </w:rPr>
              <w:t xml:space="preserve">Бюджет Фонда на 2018 год в редакции закона от 26.12.2017 года </w:t>
            </w:r>
          </w:p>
          <w:p w:rsidR="0038268F" w:rsidRPr="00683F82" w:rsidRDefault="0038268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3F82">
              <w:rPr>
                <w:b/>
                <w:bCs/>
              </w:rPr>
              <w:t>№ 85-РЗ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F" w:rsidRPr="00683F82" w:rsidRDefault="0038268F" w:rsidP="00683F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3F82">
              <w:rPr>
                <w:b/>
                <w:color w:val="000000"/>
              </w:rPr>
              <w:t xml:space="preserve">Бюджет Фонда на 2018 год согласно </w:t>
            </w:r>
            <w:proofErr w:type="spellStart"/>
            <w:r w:rsidRPr="00683F82">
              <w:rPr>
                <w:b/>
                <w:color w:val="000000"/>
              </w:rPr>
              <w:t>зако</w:t>
            </w:r>
            <w:r w:rsidR="00683F82" w:rsidRPr="00683F82">
              <w:rPr>
                <w:b/>
                <w:color w:val="000000"/>
              </w:rPr>
              <w:t>п</w:t>
            </w:r>
            <w:r w:rsidRPr="00683F82">
              <w:rPr>
                <w:b/>
                <w:color w:val="000000"/>
              </w:rPr>
              <w:t>о</w:t>
            </w:r>
            <w:r w:rsidR="00683F82" w:rsidRPr="00683F82">
              <w:rPr>
                <w:b/>
                <w:color w:val="000000"/>
              </w:rPr>
              <w:t>п</w:t>
            </w:r>
            <w:r w:rsidRPr="00683F82">
              <w:rPr>
                <w:b/>
                <w:color w:val="000000"/>
              </w:rPr>
              <w:t>ро</w:t>
            </w:r>
            <w:r w:rsidR="00683F82" w:rsidRPr="00683F82">
              <w:rPr>
                <w:b/>
                <w:color w:val="000000"/>
              </w:rPr>
              <w:t>-</w:t>
            </w:r>
            <w:r w:rsidRPr="00683F82">
              <w:rPr>
                <w:b/>
                <w:color w:val="000000"/>
              </w:rPr>
              <w:t>екту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</w:rPr>
              <w:t>Темп роста (</w:t>
            </w:r>
            <w:proofErr w:type="spellStart"/>
            <w:r w:rsidRPr="00683F82">
              <w:rPr>
                <w:b/>
                <w:bCs/>
                <w:sz w:val="24"/>
                <w:szCs w:val="24"/>
              </w:rPr>
              <w:t>сни</w:t>
            </w:r>
            <w:r w:rsidR="00683F82">
              <w:rPr>
                <w:b/>
                <w:bCs/>
                <w:sz w:val="24"/>
                <w:szCs w:val="24"/>
              </w:rPr>
              <w:t>-</w:t>
            </w:r>
            <w:proofErr w:type="gramStart"/>
            <w:r w:rsidR="00571B91">
              <w:rPr>
                <w:b/>
                <w:bCs/>
                <w:sz w:val="24"/>
                <w:szCs w:val="24"/>
              </w:rPr>
              <w:t>жения</w:t>
            </w:r>
            <w:proofErr w:type="spellEnd"/>
            <w:r w:rsidR="00571B91">
              <w:rPr>
                <w:b/>
                <w:bCs/>
                <w:sz w:val="24"/>
                <w:szCs w:val="24"/>
              </w:rPr>
              <w:t>)</w:t>
            </w:r>
            <w:r w:rsidRPr="00683F82">
              <w:rPr>
                <w:b/>
                <w:bCs/>
                <w:sz w:val="24"/>
                <w:szCs w:val="24"/>
              </w:rPr>
              <w:t>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F" w:rsidRPr="00683F82" w:rsidRDefault="0038268F" w:rsidP="00A743A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82">
              <w:rPr>
                <w:b/>
                <w:bCs/>
                <w:sz w:val="24"/>
                <w:szCs w:val="24"/>
                <w:u w:val="single"/>
              </w:rPr>
              <w:t>Для справки:</w:t>
            </w:r>
            <w:r w:rsidRPr="00683F82">
              <w:rPr>
                <w:b/>
                <w:bCs/>
                <w:sz w:val="24"/>
                <w:szCs w:val="24"/>
              </w:rPr>
              <w:t xml:space="preserve"> </w:t>
            </w:r>
            <w:r w:rsidRPr="00683F82">
              <w:rPr>
                <w:bCs/>
                <w:sz w:val="24"/>
                <w:szCs w:val="24"/>
              </w:rPr>
              <w:t>фактическое исполнение бюджета Фонда за 2017 год</w:t>
            </w:r>
          </w:p>
        </w:tc>
      </w:tr>
      <w:tr w:rsidR="0038268F" w:rsidTr="00571B91">
        <w:trPr>
          <w:trHeight w:val="8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rPr>
                <w:b/>
                <w:bCs/>
                <w:sz w:val="24"/>
                <w:szCs w:val="24"/>
              </w:rPr>
            </w:pPr>
            <w:r w:rsidRPr="00571B91">
              <w:rPr>
                <w:b/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131 653,7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136 376,6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117 388,7</w:t>
            </w:r>
          </w:p>
        </w:tc>
      </w:tr>
      <w:tr w:rsidR="0038268F" w:rsidTr="00571B91">
        <w:trPr>
          <w:trHeight w:val="1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131 653,7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136 376,6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117 388,7</w:t>
            </w:r>
          </w:p>
        </w:tc>
      </w:tr>
      <w:tr w:rsidR="0038268F" w:rsidTr="00571B91">
        <w:trPr>
          <w:trHeight w:val="2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5 589,0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1 058,4</w:t>
            </w:r>
          </w:p>
        </w:tc>
      </w:tr>
      <w:tr w:rsidR="0038268F" w:rsidTr="00571B91">
        <w:trPr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Расходы на выплату персоналу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1 490,0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1 048,4</w:t>
            </w:r>
          </w:p>
        </w:tc>
      </w:tr>
      <w:tr w:rsidR="0038268F" w:rsidTr="00571B91">
        <w:trPr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5 579,0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</w:tr>
      <w:tr w:rsidR="0038268F" w:rsidTr="00571B91">
        <w:trPr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10,0</w:t>
            </w:r>
          </w:p>
        </w:tc>
      </w:tr>
      <w:tr w:rsidR="0038268F" w:rsidTr="00571B91">
        <w:trPr>
          <w:trHeight w:val="2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lastRenderedPageBreak/>
              <w:t xml:space="preserve"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</w:t>
            </w:r>
            <w:r w:rsidR="00571B91" w:rsidRPr="00571B91">
              <w:rPr>
                <w:sz w:val="24"/>
                <w:szCs w:val="24"/>
              </w:rPr>
              <w:t>Федерального фонда</w:t>
            </w:r>
            <w:r w:rsidR="00370889">
              <w:rPr>
                <w:sz w:val="24"/>
                <w:szCs w:val="24"/>
              </w:rPr>
              <w:t xml:space="preserve"> </w:t>
            </w:r>
            <w:r w:rsidRPr="00571B91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130 153,7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130 787,6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116 330,3</w:t>
            </w:r>
          </w:p>
        </w:tc>
      </w:tr>
      <w:tr w:rsidR="0038268F" w:rsidTr="00571B91">
        <w:trPr>
          <w:trHeight w:val="8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98 933,8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104 512,8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97 558,4</w:t>
            </w:r>
          </w:p>
        </w:tc>
      </w:tr>
      <w:tr w:rsidR="0038268F" w:rsidTr="00571B91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30 593,1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25 524,5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18 306,7</w:t>
            </w:r>
          </w:p>
        </w:tc>
      </w:tr>
      <w:tr w:rsidR="0038268F" w:rsidTr="00571B91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53,0</w:t>
            </w:r>
          </w:p>
        </w:tc>
      </w:tr>
      <w:tr w:rsidR="0038268F" w:rsidTr="00571B91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571B91" w:rsidRDefault="0038268F">
            <w:pPr>
              <w:spacing w:before="12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694,7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412,2</w:t>
            </w:r>
          </w:p>
        </w:tc>
      </w:tr>
      <w:tr w:rsidR="0038268F" w:rsidTr="00571B91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68F" w:rsidRPr="00571B91" w:rsidRDefault="0038268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71B91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18 435 791,3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18 469 786,0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15 332 425,6</w:t>
            </w:r>
          </w:p>
        </w:tc>
      </w:tr>
      <w:tr w:rsidR="0038268F" w:rsidTr="00571B91">
        <w:trPr>
          <w:trHeight w:val="6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68F" w:rsidRPr="00571B91" w:rsidRDefault="0038268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71B91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18 435 791,3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18 469 786,0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bCs/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15 332 425,6</w:t>
            </w:r>
          </w:p>
        </w:tc>
      </w:tr>
      <w:tr w:rsidR="0038268F" w:rsidTr="00571B91">
        <w:trPr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8268F" w:rsidRPr="00571B91" w:rsidRDefault="0038268F">
            <w:pPr>
              <w:spacing w:before="60" w:after="6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18 435 791,3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18 469 786,0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15 332 425,6</w:t>
            </w:r>
          </w:p>
        </w:tc>
      </w:tr>
      <w:tr w:rsidR="0038268F" w:rsidTr="00571B91">
        <w:trPr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68F" w:rsidRPr="00571B91" w:rsidRDefault="0038268F">
            <w:pPr>
              <w:spacing w:before="60" w:after="6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</w:t>
            </w:r>
            <w:r w:rsidRPr="00571B91">
              <w:rPr>
                <w:sz w:val="24"/>
                <w:szCs w:val="24"/>
              </w:rPr>
              <w:lastRenderedPageBreak/>
              <w:t>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14 207,3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75 595,5</w:t>
            </w:r>
          </w:p>
        </w:tc>
      </w:tr>
      <w:tr w:rsidR="0038268F" w:rsidTr="00571B91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8268F" w:rsidRPr="00571B91" w:rsidRDefault="0038268F">
            <w:pPr>
              <w:spacing w:before="60" w:after="6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lastRenderedPageBreak/>
              <w:t>Финансовое обеспечение мероприятий, осуществляемых за счет средств нормированного страхового запаса Территориального фонда обязательного медицинского страхования Удмуртской Республики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56 798,5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47 279,2</w:t>
            </w:r>
          </w:p>
        </w:tc>
      </w:tr>
      <w:tr w:rsidR="0038268F" w:rsidTr="00571B91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8268F" w:rsidRPr="00571B91" w:rsidRDefault="0038268F">
            <w:pPr>
              <w:spacing w:before="60" w:after="6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18 393 291,3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18 398 780,2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15 207 315,5</w:t>
            </w:r>
          </w:p>
        </w:tc>
      </w:tr>
      <w:tr w:rsidR="0038268F" w:rsidTr="00571B91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8268F" w:rsidRPr="00571B91" w:rsidRDefault="0038268F">
            <w:pPr>
              <w:spacing w:before="60" w:after="6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17 898 291,3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17 903 780,2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14 802 315,5</w:t>
            </w:r>
          </w:p>
        </w:tc>
      </w:tr>
      <w:tr w:rsidR="0038268F" w:rsidTr="00571B91">
        <w:trPr>
          <w:trHeight w:val="10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8268F" w:rsidRPr="00571B91" w:rsidRDefault="0038268F">
            <w:pPr>
              <w:spacing w:before="60" w:after="120"/>
              <w:rPr>
                <w:sz w:val="24"/>
                <w:szCs w:val="24"/>
              </w:rPr>
            </w:pPr>
            <w:r w:rsidRPr="00571B91">
              <w:rPr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495 000,0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sz w:val="26"/>
                <w:szCs w:val="26"/>
              </w:rPr>
            </w:pPr>
            <w:r w:rsidRPr="00683F82">
              <w:rPr>
                <w:sz w:val="26"/>
                <w:szCs w:val="26"/>
              </w:rPr>
              <w:t>405 000,0</w:t>
            </w:r>
          </w:p>
        </w:tc>
      </w:tr>
      <w:tr w:rsidR="0038268F" w:rsidTr="00571B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268F" w:rsidRPr="00683F82" w:rsidRDefault="0038268F">
            <w:pPr>
              <w:spacing w:before="120"/>
              <w:rPr>
                <w:sz w:val="26"/>
                <w:szCs w:val="26"/>
              </w:rPr>
            </w:pPr>
            <w:r w:rsidRPr="00683F8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18 567 445,0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18 606 162,6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F" w:rsidRPr="00683F82" w:rsidRDefault="0038268F">
            <w:pPr>
              <w:jc w:val="center"/>
              <w:rPr>
                <w:b/>
                <w:sz w:val="26"/>
                <w:szCs w:val="26"/>
              </w:rPr>
            </w:pPr>
            <w:r w:rsidRPr="00683F82">
              <w:rPr>
                <w:b/>
                <w:sz w:val="26"/>
                <w:szCs w:val="26"/>
              </w:rPr>
              <w:t>15 495 414,3</w:t>
            </w:r>
          </w:p>
        </w:tc>
      </w:tr>
    </w:tbl>
    <w:p w:rsidR="0038268F" w:rsidRDefault="0038268F" w:rsidP="0088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</w:p>
    <w:p w:rsidR="0038268F" w:rsidRPr="00D07945" w:rsidRDefault="0072780B" w:rsidP="00571B91">
      <w:pPr>
        <w:autoSpaceDE w:val="0"/>
        <w:autoSpaceDN w:val="0"/>
        <w:adjustRightInd w:val="0"/>
        <w:spacing w:after="0" w:line="288" w:lineRule="auto"/>
        <w:ind w:firstLine="709"/>
        <w:jc w:val="both"/>
      </w:pPr>
      <w:r w:rsidRPr="00D07945">
        <w:rPr>
          <w:rFonts w:eastAsia="Calibri"/>
          <w:color w:val="000000"/>
        </w:rPr>
        <w:t xml:space="preserve">Таким образом, </w:t>
      </w:r>
      <w:r w:rsidR="00B5451B" w:rsidRPr="00D07945">
        <w:t xml:space="preserve">бюджетные ассигнования </w:t>
      </w:r>
      <w:r w:rsidR="00B5451B" w:rsidRPr="00D07945">
        <w:rPr>
          <w:rFonts w:eastAsia="Calibri"/>
          <w:color w:val="000000"/>
        </w:rPr>
        <w:t>по</w:t>
      </w:r>
      <w:r w:rsidR="0016724D" w:rsidRPr="00D07945">
        <w:t xml:space="preserve"> </w:t>
      </w:r>
      <w:r w:rsidR="0038268F" w:rsidRPr="00D07945">
        <w:t xml:space="preserve">подразделу «Другие общегосударственные вопросы» </w:t>
      </w:r>
      <w:r w:rsidR="00B5451B" w:rsidRPr="00D07945">
        <w:t xml:space="preserve">планируется увеличить на 4 722,9 тыс. рублей </w:t>
      </w:r>
      <w:r w:rsidR="00CD63D7">
        <w:t>(</w:t>
      </w:r>
      <w:r w:rsidR="00B5451B" w:rsidRPr="00D07945">
        <w:t>они составят 136 376,6 тыс. рублей</w:t>
      </w:r>
      <w:r w:rsidR="00CD63D7">
        <w:t>)</w:t>
      </w:r>
      <w:r w:rsidR="0038268F" w:rsidRPr="00D07945">
        <w:t xml:space="preserve">, </w:t>
      </w:r>
      <w:r w:rsidR="00B5451B" w:rsidRPr="00D07945">
        <w:t>из них</w:t>
      </w:r>
      <w:r w:rsidR="0038268F" w:rsidRPr="00D07945">
        <w:t>:</w:t>
      </w:r>
    </w:p>
    <w:p w:rsidR="0038268F" w:rsidRPr="00D07945" w:rsidRDefault="0038268F" w:rsidP="00571B91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45">
        <w:rPr>
          <w:rFonts w:ascii="Times New Roman" w:hAnsi="Times New Roman" w:cs="Times New Roman"/>
          <w:sz w:val="28"/>
          <w:szCs w:val="28"/>
        </w:rPr>
        <w:t>4 089,0 тыс. рублей</w:t>
      </w:r>
      <w:r w:rsidR="00B5451B" w:rsidRPr="00D07945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D07945">
        <w:rPr>
          <w:rFonts w:ascii="Times New Roman" w:hAnsi="Times New Roman" w:cs="Times New Roman"/>
          <w:sz w:val="28"/>
          <w:szCs w:val="28"/>
        </w:rPr>
        <w:t xml:space="preserve"> </w:t>
      </w:r>
      <w:r w:rsidR="00B5451B" w:rsidRPr="00D07945">
        <w:rPr>
          <w:rFonts w:ascii="Times New Roman" w:hAnsi="Times New Roman" w:cs="Times New Roman"/>
          <w:sz w:val="28"/>
          <w:szCs w:val="28"/>
        </w:rPr>
        <w:t xml:space="preserve">на </w:t>
      </w:r>
      <w:r w:rsidRPr="00D07945">
        <w:rPr>
          <w:rFonts w:ascii="Times New Roman" w:hAnsi="Times New Roman" w:cs="Times New Roman"/>
          <w:sz w:val="28"/>
          <w:szCs w:val="28"/>
        </w:rPr>
        <w:t>реализаци</w:t>
      </w:r>
      <w:r w:rsidR="00B5451B" w:rsidRPr="00D07945">
        <w:rPr>
          <w:rFonts w:ascii="Times New Roman" w:hAnsi="Times New Roman" w:cs="Times New Roman"/>
          <w:sz w:val="28"/>
          <w:szCs w:val="28"/>
        </w:rPr>
        <w:t>ю</w:t>
      </w:r>
      <w:r w:rsidRPr="00D07945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38268F" w:rsidRPr="00370889" w:rsidRDefault="0038268F" w:rsidP="00571B91">
      <w:pPr>
        <w:autoSpaceDE w:val="0"/>
        <w:autoSpaceDN w:val="0"/>
        <w:adjustRightInd w:val="0"/>
        <w:spacing w:after="0" w:line="288" w:lineRule="auto"/>
        <w:jc w:val="both"/>
      </w:pPr>
      <w:r w:rsidRPr="00D07945">
        <w:t>Правительства Удмуртской Республики от 16.01.2018 №1 «О повышении</w:t>
      </w:r>
      <w:r w:rsidR="00B5451B" w:rsidRPr="00D07945">
        <w:t xml:space="preserve"> </w:t>
      </w:r>
      <w:r w:rsidRPr="00D07945">
        <w:t>денежного содержания (оплаты труда) работников органов государственной</w:t>
      </w:r>
      <w:r w:rsidR="00B5451B" w:rsidRPr="00D07945">
        <w:t xml:space="preserve"> </w:t>
      </w:r>
      <w:r w:rsidRPr="00D07945">
        <w:t>власти Удмуртской Республики и органов местного самоуправления в</w:t>
      </w:r>
      <w:r w:rsidR="00CD63D7">
        <w:t xml:space="preserve"> Удмуртской Республике</w:t>
      </w:r>
      <w:r w:rsidR="00CD63D7" w:rsidRPr="00370889">
        <w:t>» (за счё</w:t>
      </w:r>
      <w:r w:rsidRPr="00370889">
        <w:t>т остатка средств на</w:t>
      </w:r>
      <w:r w:rsidR="00CD63D7" w:rsidRPr="00370889">
        <w:t xml:space="preserve"> </w:t>
      </w:r>
      <w:r w:rsidR="00CF2B32" w:rsidRPr="00370889">
        <w:t>начало года</w:t>
      </w:r>
      <w:r w:rsidRPr="00370889">
        <w:t>);</w:t>
      </w:r>
    </w:p>
    <w:p w:rsidR="00CD63D7" w:rsidRDefault="0038268F" w:rsidP="009B6B4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370889">
        <w:rPr>
          <w:rFonts w:ascii="Times New Roman" w:hAnsi="Times New Roman" w:cs="Times New Roman"/>
          <w:sz w:val="28"/>
          <w:szCs w:val="28"/>
        </w:rPr>
        <w:t>633,9 тыс. рублей</w:t>
      </w:r>
      <w:r w:rsidR="00CD63D7" w:rsidRPr="00370889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370889">
        <w:t xml:space="preserve"> </w:t>
      </w:r>
      <w:r w:rsidR="00CD63D7" w:rsidRPr="00370889">
        <w:rPr>
          <w:rFonts w:ascii="Times New Roman" w:hAnsi="Times New Roman" w:cs="Times New Roman"/>
          <w:sz w:val="28"/>
          <w:szCs w:val="28"/>
        </w:rPr>
        <w:t>на завершение расчетов</w:t>
      </w:r>
      <w:r w:rsidR="00CD63D7">
        <w:rPr>
          <w:rFonts w:ascii="Times New Roman" w:hAnsi="Times New Roman" w:cs="Times New Roman"/>
          <w:sz w:val="28"/>
          <w:szCs w:val="28"/>
        </w:rPr>
        <w:t xml:space="preserve"> за 2017 </w:t>
      </w:r>
      <w:r w:rsidRPr="00CD63D7">
        <w:rPr>
          <w:rFonts w:ascii="Times New Roman" w:hAnsi="Times New Roman" w:cs="Times New Roman"/>
          <w:sz w:val="28"/>
          <w:szCs w:val="28"/>
        </w:rPr>
        <w:t>год по</w:t>
      </w:r>
      <w:r w:rsidR="00CD63D7">
        <w:rPr>
          <w:rFonts w:ascii="Times New Roman" w:hAnsi="Times New Roman" w:cs="Times New Roman"/>
          <w:sz w:val="28"/>
          <w:szCs w:val="28"/>
        </w:rPr>
        <w:t xml:space="preserve"> </w:t>
      </w:r>
      <w:r w:rsidRPr="00CD63D7">
        <w:rPr>
          <w:rFonts w:ascii="Times New Roman" w:hAnsi="Times New Roman" w:cs="Times New Roman"/>
          <w:sz w:val="28"/>
          <w:szCs w:val="28"/>
        </w:rPr>
        <w:t>заключенным г</w:t>
      </w:r>
      <w:r w:rsidR="00CD63D7">
        <w:rPr>
          <w:rFonts w:ascii="Times New Roman" w:hAnsi="Times New Roman" w:cs="Times New Roman"/>
          <w:sz w:val="28"/>
          <w:szCs w:val="28"/>
        </w:rPr>
        <w:t>осударственным контрактам за счё</w:t>
      </w:r>
      <w:r w:rsidRPr="00CD63D7">
        <w:rPr>
          <w:rFonts w:ascii="Times New Roman" w:hAnsi="Times New Roman" w:cs="Times New Roman"/>
          <w:sz w:val="28"/>
          <w:szCs w:val="28"/>
        </w:rPr>
        <w:t>т остатк</w:t>
      </w:r>
      <w:r w:rsidR="00A53F56">
        <w:rPr>
          <w:rFonts w:ascii="Times New Roman" w:hAnsi="Times New Roman" w:cs="Times New Roman"/>
          <w:sz w:val="28"/>
          <w:szCs w:val="28"/>
        </w:rPr>
        <w:t>а</w:t>
      </w:r>
      <w:r w:rsidRPr="00CD63D7">
        <w:rPr>
          <w:rFonts w:ascii="Times New Roman" w:hAnsi="Times New Roman" w:cs="Times New Roman"/>
          <w:sz w:val="28"/>
          <w:szCs w:val="28"/>
        </w:rPr>
        <w:t xml:space="preserve"> </w:t>
      </w:r>
      <w:r w:rsidR="00A53F5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CD63D7">
        <w:rPr>
          <w:rFonts w:ascii="Times New Roman" w:hAnsi="Times New Roman" w:cs="Times New Roman"/>
          <w:sz w:val="28"/>
          <w:szCs w:val="28"/>
        </w:rPr>
        <w:t>субвенции</w:t>
      </w:r>
      <w:r w:rsidR="00CD63D7">
        <w:rPr>
          <w:rFonts w:ascii="Times New Roman" w:hAnsi="Times New Roman" w:cs="Times New Roman"/>
          <w:sz w:val="28"/>
          <w:szCs w:val="28"/>
        </w:rPr>
        <w:t>.</w:t>
      </w:r>
    </w:p>
    <w:p w:rsidR="00B2754F" w:rsidRPr="00B2754F" w:rsidRDefault="00B2754F" w:rsidP="009B6B4A">
      <w:pPr>
        <w:pStyle w:val="a9"/>
        <w:spacing w:line="288" w:lineRule="auto"/>
        <w:ind w:left="0" w:firstLine="708"/>
        <w:jc w:val="both"/>
        <w:rPr>
          <w:rFonts w:eastAsia="Calibri"/>
          <w:color w:val="000000"/>
        </w:rPr>
      </w:pPr>
      <w:r w:rsidRPr="00B2754F">
        <w:rPr>
          <w:rFonts w:eastAsia="Calibri"/>
          <w:color w:val="000000"/>
        </w:rPr>
        <w:t>П</w:t>
      </w:r>
      <w:r w:rsidR="009E565F">
        <w:rPr>
          <w:rFonts w:eastAsia="Calibri"/>
          <w:color w:val="000000"/>
        </w:rPr>
        <w:t>о подразделу</w:t>
      </w:r>
      <w:r w:rsidRPr="00B2754F">
        <w:rPr>
          <w:rFonts w:eastAsia="Calibri"/>
          <w:color w:val="000000"/>
        </w:rPr>
        <w:t xml:space="preserve"> «Другие вопросы в области здравоохранения» целевой статье «Непрограммные направления деятельности»</w:t>
      </w:r>
      <w:r w:rsidR="009E565F">
        <w:rPr>
          <w:rFonts w:eastAsia="Calibri"/>
          <w:color w:val="000000"/>
        </w:rPr>
        <w:t xml:space="preserve"> </w:t>
      </w:r>
      <w:r w:rsidRPr="00B2754F">
        <w:rPr>
          <w:rFonts w:eastAsia="Calibri"/>
          <w:color w:val="000000"/>
        </w:rPr>
        <w:t>предусмотрен</w:t>
      </w:r>
      <w:r w:rsidR="009E565F">
        <w:rPr>
          <w:rFonts w:eastAsia="Calibri"/>
          <w:color w:val="000000"/>
        </w:rPr>
        <w:t>о увеличение бюджетных ассигнований на сумму</w:t>
      </w:r>
      <w:r w:rsidRPr="00B2754F">
        <w:rPr>
          <w:rFonts w:eastAsia="Calibri"/>
          <w:color w:val="000000"/>
        </w:rPr>
        <w:t xml:space="preserve"> </w:t>
      </w:r>
      <w:r w:rsidR="009E565F" w:rsidRPr="00B2754F">
        <w:rPr>
          <w:rFonts w:eastAsia="Calibri"/>
          <w:color w:val="000000"/>
        </w:rPr>
        <w:t>33 994,7 тыс. рублей</w:t>
      </w:r>
      <w:r w:rsidR="009E565F">
        <w:rPr>
          <w:rFonts w:eastAsia="Calibri"/>
          <w:color w:val="000000"/>
        </w:rPr>
        <w:t xml:space="preserve"> (общая сумма составит</w:t>
      </w:r>
      <w:r w:rsidRPr="00B2754F">
        <w:rPr>
          <w:rFonts w:eastAsia="Calibri"/>
          <w:color w:val="000000"/>
        </w:rPr>
        <w:t xml:space="preserve"> 18 469 786,0 тыс. рублей</w:t>
      </w:r>
      <w:r w:rsidR="009E565F">
        <w:rPr>
          <w:rFonts w:eastAsia="Calibri"/>
          <w:color w:val="000000"/>
        </w:rPr>
        <w:t>)</w:t>
      </w:r>
      <w:r w:rsidRPr="00B2754F">
        <w:rPr>
          <w:rFonts w:eastAsia="Calibri"/>
          <w:color w:val="000000"/>
        </w:rPr>
        <w:t>, в том числе:</w:t>
      </w:r>
    </w:p>
    <w:p w:rsidR="00B2754F" w:rsidRDefault="009B6B4A" w:rsidP="009B6B4A">
      <w:pPr>
        <w:shd w:val="clear" w:color="auto" w:fill="FFFFFF"/>
        <w:tabs>
          <w:tab w:val="left" w:pos="1109"/>
        </w:tabs>
        <w:spacing w:before="58" w:line="288" w:lineRule="auto"/>
        <w:ind w:right="7" w:firstLine="71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 w:rsidR="00B2754F" w:rsidRPr="00B2754F">
        <w:rPr>
          <w:rFonts w:eastAsia="Calibri"/>
          <w:color w:val="000000"/>
        </w:rPr>
        <w:tab/>
        <w:t>14</w:t>
      </w:r>
      <w:r w:rsidR="009E565F">
        <w:rPr>
          <w:rFonts w:eastAsia="Calibri"/>
          <w:color w:val="000000"/>
        </w:rPr>
        <w:t xml:space="preserve"> </w:t>
      </w:r>
      <w:r w:rsidR="00B2754F" w:rsidRPr="00B2754F">
        <w:rPr>
          <w:rFonts w:eastAsia="Calibri"/>
          <w:color w:val="000000"/>
        </w:rPr>
        <w:t xml:space="preserve">207,3 тыс. рублей </w:t>
      </w:r>
      <w:r w:rsidRPr="009B6B4A">
        <w:rPr>
          <w:rFonts w:eastAsia="Calibri"/>
          <w:color w:val="000000"/>
        </w:rPr>
        <w:t>на оплату оказанной медицинской пом</w:t>
      </w:r>
      <w:r>
        <w:rPr>
          <w:rFonts w:eastAsia="Calibri"/>
          <w:color w:val="000000"/>
        </w:rPr>
        <w:t>ощи иногородним гражданам за счё</w:t>
      </w:r>
      <w:r w:rsidRPr="009B6B4A">
        <w:rPr>
          <w:rFonts w:eastAsia="Calibri"/>
          <w:color w:val="000000"/>
        </w:rPr>
        <w:t xml:space="preserve">т поступления неналоговых доходов текущего финансового года и остатка </w:t>
      </w:r>
      <w:r w:rsidR="00473714" w:rsidRPr="009B6B4A">
        <w:rPr>
          <w:rFonts w:eastAsia="Calibri"/>
          <w:color w:val="000000"/>
        </w:rPr>
        <w:t xml:space="preserve">средств </w:t>
      </w:r>
      <w:r w:rsidRPr="009B6B4A">
        <w:rPr>
          <w:rFonts w:eastAsia="Calibri"/>
          <w:color w:val="000000"/>
        </w:rPr>
        <w:t>на начало года</w:t>
      </w:r>
      <w:r>
        <w:rPr>
          <w:rFonts w:eastAsia="Calibri"/>
          <w:color w:val="000000"/>
        </w:rPr>
        <w:t>;</w:t>
      </w:r>
    </w:p>
    <w:p w:rsidR="00B2754F" w:rsidRPr="00B2754F" w:rsidRDefault="00AD221C" w:rsidP="009B6B4A">
      <w:pPr>
        <w:shd w:val="clear" w:color="auto" w:fill="FFFFFF"/>
        <w:tabs>
          <w:tab w:val="left" w:pos="1001"/>
        </w:tabs>
        <w:spacing w:line="288" w:lineRule="auto"/>
        <w:ind w:firstLine="69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 w:rsidR="00B2754F" w:rsidRPr="00B2754F">
        <w:rPr>
          <w:rFonts w:eastAsia="Calibri"/>
          <w:color w:val="000000"/>
        </w:rPr>
        <w:tab/>
        <w:t xml:space="preserve">14 298,5 тыс. рублей </w:t>
      </w:r>
      <w:r w:rsidR="004A50FF" w:rsidRPr="004A50FF">
        <w:rPr>
          <w:rFonts w:eastAsia="Calibri"/>
          <w:color w:val="000000"/>
        </w:rPr>
        <w:t xml:space="preserve"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на приобретение и проведение ремонта медицинского оборудования </w:t>
      </w:r>
      <w:r w:rsidR="00ED3C8F">
        <w:rPr>
          <w:rFonts w:eastAsia="Calibri"/>
          <w:color w:val="000000"/>
        </w:rPr>
        <w:t xml:space="preserve">за счёт </w:t>
      </w:r>
      <w:r w:rsidR="00ED3C8F" w:rsidRPr="00B2754F">
        <w:rPr>
          <w:rFonts w:eastAsia="Calibri"/>
          <w:color w:val="000000"/>
        </w:rPr>
        <w:t>остатк</w:t>
      </w:r>
      <w:r w:rsidR="00ED3C8F">
        <w:rPr>
          <w:rFonts w:eastAsia="Calibri"/>
          <w:color w:val="000000"/>
        </w:rPr>
        <w:t>а</w:t>
      </w:r>
      <w:r w:rsidR="00ED3C8F" w:rsidRPr="00B2754F">
        <w:rPr>
          <w:rFonts w:eastAsia="Calibri"/>
          <w:color w:val="000000"/>
        </w:rPr>
        <w:t xml:space="preserve"> </w:t>
      </w:r>
      <w:r w:rsidR="00A53F56">
        <w:rPr>
          <w:rFonts w:eastAsia="Calibri"/>
          <w:color w:val="000000"/>
        </w:rPr>
        <w:t xml:space="preserve">средств </w:t>
      </w:r>
      <w:r w:rsidR="00ED3C8F" w:rsidRPr="00B2754F">
        <w:rPr>
          <w:rFonts w:eastAsia="Calibri"/>
          <w:color w:val="000000"/>
        </w:rPr>
        <w:t>нормированного страхового запаса</w:t>
      </w:r>
      <w:r w:rsidR="004A50FF">
        <w:rPr>
          <w:rFonts w:eastAsia="Calibri"/>
          <w:color w:val="000000"/>
        </w:rPr>
        <w:t xml:space="preserve"> </w:t>
      </w:r>
      <w:r w:rsidR="00ED3C8F" w:rsidRPr="00B2754F">
        <w:rPr>
          <w:rFonts w:eastAsia="Calibri"/>
          <w:color w:val="000000"/>
        </w:rPr>
        <w:t>Фонда на начало года</w:t>
      </w:r>
      <w:r w:rsidR="00B2754F" w:rsidRPr="00B2754F">
        <w:rPr>
          <w:rFonts w:eastAsia="Calibri"/>
          <w:color w:val="000000"/>
        </w:rPr>
        <w:t>;</w:t>
      </w:r>
    </w:p>
    <w:p w:rsidR="00B2754F" w:rsidRDefault="00AD221C" w:rsidP="009B6B4A">
      <w:pPr>
        <w:shd w:val="clear" w:color="auto" w:fill="FFFFFF"/>
        <w:spacing w:line="288" w:lineRule="auto"/>
        <w:ind w:firstLine="84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 w:rsidR="00B2754F" w:rsidRPr="00B2754F">
        <w:rPr>
          <w:rFonts w:eastAsia="Calibri"/>
          <w:color w:val="000000"/>
        </w:rPr>
        <w:t xml:space="preserve"> 5 488,9 тыс. рублей </w:t>
      </w:r>
      <w:r>
        <w:rPr>
          <w:rFonts w:eastAsia="Calibri"/>
          <w:color w:val="000000"/>
        </w:rPr>
        <w:t xml:space="preserve">на </w:t>
      </w:r>
      <w:r w:rsidR="00B2754F" w:rsidRPr="00B2754F">
        <w:rPr>
          <w:rFonts w:eastAsia="Calibri"/>
          <w:color w:val="000000"/>
        </w:rPr>
        <w:t>финансово</w:t>
      </w:r>
      <w:r>
        <w:rPr>
          <w:rFonts w:eastAsia="Calibri"/>
          <w:color w:val="000000"/>
        </w:rPr>
        <w:t>е</w:t>
      </w:r>
      <w:r w:rsidR="00B2754F" w:rsidRPr="00B2754F">
        <w:rPr>
          <w:rFonts w:eastAsia="Calibri"/>
          <w:color w:val="000000"/>
        </w:rPr>
        <w:t xml:space="preserve"> обеспечени</w:t>
      </w:r>
      <w:r>
        <w:rPr>
          <w:rFonts w:eastAsia="Calibri"/>
          <w:color w:val="000000"/>
        </w:rPr>
        <w:t>е</w:t>
      </w:r>
      <w:r w:rsidR="00C07575">
        <w:rPr>
          <w:rFonts w:eastAsia="Calibri"/>
          <w:color w:val="000000"/>
        </w:rPr>
        <w:t xml:space="preserve"> </w:t>
      </w:r>
      <w:r w:rsidR="00B2754F" w:rsidRPr="00B2754F">
        <w:rPr>
          <w:rFonts w:eastAsia="Calibri"/>
          <w:color w:val="000000"/>
        </w:rPr>
        <w:t xml:space="preserve">организации обязательного медицинского </w:t>
      </w:r>
      <w:r>
        <w:rPr>
          <w:rFonts w:eastAsia="Calibri"/>
          <w:color w:val="000000"/>
        </w:rPr>
        <w:t>страхования для завершения</w:t>
      </w:r>
      <w:r w:rsidR="00C0757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расчётов за декабрь 2017 года </w:t>
      </w:r>
      <w:r w:rsidR="004A50FF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за счё</w:t>
      </w:r>
      <w:r w:rsidR="00B2754F" w:rsidRPr="00B2754F">
        <w:rPr>
          <w:rFonts w:eastAsia="Calibri"/>
          <w:color w:val="000000"/>
        </w:rPr>
        <w:t>т остатк</w:t>
      </w:r>
      <w:r w:rsidR="00473714">
        <w:rPr>
          <w:rFonts w:eastAsia="Calibri"/>
          <w:color w:val="000000"/>
        </w:rPr>
        <w:t>а</w:t>
      </w:r>
      <w:r w:rsidR="00C07575">
        <w:rPr>
          <w:rFonts w:eastAsia="Calibri"/>
          <w:color w:val="000000"/>
        </w:rPr>
        <w:t xml:space="preserve"> средств</w:t>
      </w:r>
      <w:r w:rsidR="00B2754F" w:rsidRPr="00B2754F">
        <w:rPr>
          <w:rFonts w:eastAsia="Calibri"/>
          <w:color w:val="000000"/>
        </w:rPr>
        <w:t xml:space="preserve"> субвенции</w:t>
      </w:r>
      <w:r w:rsidR="004A50FF">
        <w:rPr>
          <w:rFonts w:eastAsia="Calibri"/>
          <w:color w:val="000000"/>
        </w:rPr>
        <w:t>).</w:t>
      </w:r>
      <w:r w:rsidR="00B2754F" w:rsidRPr="00B2754F">
        <w:rPr>
          <w:rFonts w:eastAsia="Calibri"/>
          <w:color w:val="000000"/>
        </w:rPr>
        <w:t xml:space="preserve"> </w:t>
      </w:r>
    </w:p>
    <w:p w:rsidR="007C55BD" w:rsidRPr="00B2754F" w:rsidRDefault="007C55BD" w:rsidP="00F47D8B">
      <w:pPr>
        <w:shd w:val="clear" w:color="auto" w:fill="FFFFFF"/>
        <w:spacing w:line="288" w:lineRule="auto"/>
        <w:ind w:firstLine="84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Кроме того, проектом закона </w:t>
      </w:r>
      <w:r w:rsidRPr="007C55BD">
        <w:rPr>
          <w:rFonts w:eastAsia="Calibri"/>
          <w:color w:val="000000"/>
        </w:rPr>
        <w:t>предлагается увеличить</w:t>
      </w:r>
      <w:r>
        <w:rPr>
          <w:rFonts w:eastAsia="Calibri"/>
          <w:color w:val="000000"/>
        </w:rPr>
        <w:t xml:space="preserve"> р</w:t>
      </w:r>
      <w:r w:rsidRPr="007C55BD">
        <w:rPr>
          <w:rFonts w:eastAsia="Calibri"/>
          <w:color w:val="000000"/>
        </w:rPr>
        <w:t>азмер нормированного страхового запаса, формируемого Фондом, установленный статьей 6 Закона, на 52,1 тыс.</w:t>
      </w:r>
      <w:r>
        <w:rPr>
          <w:rFonts w:eastAsia="Calibri"/>
          <w:color w:val="000000"/>
        </w:rPr>
        <w:t xml:space="preserve"> </w:t>
      </w:r>
      <w:r w:rsidRPr="007C55BD">
        <w:rPr>
          <w:rFonts w:eastAsia="Calibri"/>
          <w:color w:val="000000"/>
        </w:rPr>
        <w:t xml:space="preserve">рублей, в результате чего он составит </w:t>
      </w:r>
      <w:r w:rsidR="00717E0E">
        <w:rPr>
          <w:rFonts w:eastAsia="Calibri"/>
          <w:color w:val="000000"/>
        </w:rPr>
        <w:t xml:space="preserve">                                </w:t>
      </w:r>
      <w:r w:rsidRPr="007C55BD">
        <w:rPr>
          <w:rFonts w:eastAsia="Calibri"/>
          <w:color w:val="000000"/>
        </w:rPr>
        <w:t>1 520 880,8 тыс. рублей.</w:t>
      </w:r>
    </w:p>
    <w:p w:rsidR="00143335" w:rsidRDefault="003903D5" w:rsidP="00F47D8B">
      <w:pPr>
        <w:spacing w:line="288" w:lineRule="auto"/>
        <w:ind w:firstLine="709"/>
        <w:jc w:val="both"/>
      </w:pPr>
      <w:r>
        <w:rPr>
          <w:rFonts w:eastAsia="Calibri"/>
          <w:color w:val="000000"/>
        </w:rPr>
        <w:t xml:space="preserve">В результате планируемых изменений </w:t>
      </w:r>
      <w:r w:rsidRPr="00B2754F">
        <w:rPr>
          <w:rFonts w:eastAsia="Calibri"/>
          <w:color w:val="000000"/>
        </w:rPr>
        <w:t xml:space="preserve">дефицит бюджета </w:t>
      </w:r>
      <w:r>
        <w:rPr>
          <w:rFonts w:eastAsia="Calibri"/>
          <w:color w:val="000000"/>
        </w:rPr>
        <w:t xml:space="preserve">Фонда </w:t>
      </w:r>
      <w:r w:rsidRPr="00B2754F">
        <w:rPr>
          <w:rFonts w:eastAsia="Calibri"/>
          <w:color w:val="000000"/>
        </w:rPr>
        <w:t>составит 38 127,1 тыс. рублей.</w:t>
      </w:r>
      <w:r w:rsidR="00143335" w:rsidRPr="00143335">
        <w:t xml:space="preserve"> </w:t>
      </w:r>
    </w:p>
    <w:p w:rsidR="00143335" w:rsidRPr="00D27A0F" w:rsidRDefault="00143335" w:rsidP="00B6669F">
      <w:pPr>
        <w:shd w:val="clear" w:color="auto" w:fill="FFFFFF"/>
        <w:spacing w:after="0" w:line="288" w:lineRule="auto"/>
        <w:ind w:right="7" w:firstLine="698"/>
        <w:jc w:val="both"/>
        <w:rPr>
          <w:color w:val="000000"/>
        </w:rPr>
      </w:pPr>
      <w:r w:rsidRPr="00D27A0F">
        <w:rPr>
          <w:color w:val="000000"/>
        </w:rPr>
        <w:lastRenderedPageBreak/>
        <w:t xml:space="preserve">В приложении № 9 к Закону на 2018 год учитывается в качестве источника внутреннего финансирования дефицита бюджета Фонда, остаток средств на лицевом счете на 1 января 2018 года в сумме 38 127,1 тыс. рублей. </w:t>
      </w:r>
    </w:p>
    <w:p w:rsidR="0016724D" w:rsidRDefault="0016724D" w:rsidP="00B6669F">
      <w:pPr>
        <w:spacing w:after="0" w:line="288" w:lineRule="auto"/>
        <w:ind w:firstLine="709"/>
        <w:jc w:val="both"/>
        <w:rPr>
          <w:color w:val="000000"/>
        </w:rPr>
      </w:pPr>
      <w:r w:rsidRPr="00D27A0F">
        <w:rPr>
          <w:color w:val="000000"/>
        </w:rPr>
        <w:t>Бюджет Фонда на плановый период 201</w:t>
      </w:r>
      <w:r w:rsidR="00370889" w:rsidRPr="00D27A0F">
        <w:rPr>
          <w:color w:val="000000"/>
        </w:rPr>
        <w:t>9</w:t>
      </w:r>
      <w:r w:rsidRPr="00D27A0F">
        <w:rPr>
          <w:color w:val="000000"/>
        </w:rPr>
        <w:t xml:space="preserve"> и 20</w:t>
      </w:r>
      <w:r w:rsidR="00370889" w:rsidRPr="00D27A0F">
        <w:rPr>
          <w:color w:val="000000"/>
        </w:rPr>
        <w:t>20</w:t>
      </w:r>
      <w:r w:rsidRPr="00D27A0F">
        <w:rPr>
          <w:color w:val="000000"/>
        </w:rPr>
        <w:t xml:space="preserve"> годов </w:t>
      </w:r>
      <w:r w:rsidR="00C8242F" w:rsidRPr="00D27A0F">
        <w:rPr>
          <w:color w:val="000000"/>
        </w:rPr>
        <w:t xml:space="preserve">не </w:t>
      </w:r>
      <w:r w:rsidRPr="00D27A0F">
        <w:rPr>
          <w:color w:val="000000"/>
        </w:rPr>
        <w:t>измен</w:t>
      </w:r>
      <w:r w:rsidR="00C8242F" w:rsidRPr="00D27A0F">
        <w:rPr>
          <w:color w:val="000000"/>
        </w:rPr>
        <w:t>яется</w:t>
      </w:r>
      <w:r w:rsidRPr="00D27A0F">
        <w:rPr>
          <w:color w:val="000000"/>
        </w:rPr>
        <w:t>.</w:t>
      </w:r>
    </w:p>
    <w:p w:rsidR="00D27A0F" w:rsidRPr="00D27A0F" w:rsidRDefault="00D27A0F" w:rsidP="00B6669F">
      <w:pPr>
        <w:spacing w:after="0" w:line="288" w:lineRule="auto"/>
        <w:ind w:firstLine="709"/>
        <w:jc w:val="both"/>
        <w:rPr>
          <w:color w:val="000000"/>
          <w:sz w:val="10"/>
          <w:szCs w:val="10"/>
        </w:rPr>
      </w:pPr>
    </w:p>
    <w:p w:rsidR="00D27A0F" w:rsidRPr="00D27A0F" w:rsidRDefault="00D27A0F" w:rsidP="00B6669F">
      <w:pPr>
        <w:spacing w:after="0" w:line="288" w:lineRule="auto"/>
        <w:ind w:firstLine="709"/>
        <w:jc w:val="both"/>
        <w:rPr>
          <w:color w:val="000000"/>
        </w:rPr>
      </w:pPr>
      <w:r w:rsidRPr="00D27A0F">
        <w:rPr>
          <w:color w:val="000000"/>
        </w:rPr>
        <w:t>На Проект закона получены положительные заключения Управления министерства юстиции Российской Федерации по Удмуртской Республике, прокуратуры Удмуртской Республики, Правового управления Аппарата Государственного</w:t>
      </w:r>
      <w:r>
        <w:rPr>
          <w:color w:val="000000"/>
        </w:rPr>
        <w:t xml:space="preserve"> Совета Удмуртской Республики, </w:t>
      </w:r>
      <w:r w:rsidRPr="00D27A0F">
        <w:rPr>
          <w:color w:val="000000"/>
        </w:rPr>
        <w:t xml:space="preserve">Государственного контрольного комитета Удмуртской Республики, постоянной комиссии </w:t>
      </w:r>
      <w:r w:rsidR="000C731D">
        <w:rPr>
          <w:color w:val="000000"/>
        </w:rPr>
        <w:t xml:space="preserve">Государственного Совета Удмуртской Республики </w:t>
      </w:r>
      <w:r w:rsidRPr="00D27A0F">
        <w:rPr>
          <w:color w:val="000000"/>
        </w:rPr>
        <w:t>по здравоохранению, демографической и семейной политике.</w:t>
      </w:r>
    </w:p>
    <w:p w:rsidR="00D27A0F" w:rsidRPr="00DB5526" w:rsidRDefault="00D27A0F" w:rsidP="00B6669F">
      <w:pPr>
        <w:spacing w:after="0" w:line="288" w:lineRule="auto"/>
        <w:ind w:firstLine="709"/>
        <w:jc w:val="both"/>
        <w:rPr>
          <w:color w:val="000000"/>
          <w:highlight w:val="yellow"/>
        </w:rPr>
      </w:pPr>
      <w:r w:rsidRPr="00D27A0F">
        <w:rPr>
          <w:color w:val="000000"/>
        </w:rPr>
        <w:t>Учитывая вышеизложенное, постоянная комиссия Государственного Совета Удмуртской Республики по бюджету, налогам и финансам рекомендует Государственному Совету Удмуртской Республики принять Проект закона в двух чтениях.</w:t>
      </w:r>
    </w:p>
    <w:p w:rsidR="0088796F" w:rsidRDefault="0088796F" w:rsidP="00B6669F">
      <w:pPr>
        <w:pStyle w:val="a8"/>
        <w:spacing w:before="0" w:beforeAutospacing="0" w:after="0" w:afterAutospacing="0" w:line="288" w:lineRule="auto"/>
        <w:jc w:val="both"/>
      </w:pPr>
    </w:p>
    <w:p w:rsidR="00AB2F6D" w:rsidRPr="007955BC" w:rsidRDefault="00AB2F6D" w:rsidP="00B6669F">
      <w:pPr>
        <w:spacing w:after="0" w:line="288" w:lineRule="auto"/>
        <w:jc w:val="both"/>
      </w:pPr>
    </w:p>
    <w:p w:rsidR="00AB2F6D" w:rsidRPr="007955BC" w:rsidRDefault="00AB2F6D" w:rsidP="006D2EB1">
      <w:pPr>
        <w:spacing w:after="0" w:line="240" w:lineRule="auto"/>
        <w:jc w:val="both"/>
      </w:pPr>
    </w:p>
    <w:p w:rsidR="00AB2F6D" w:rsidRPr="007955BC" w:rsidRDefault="006D2EB1" w:rsidP="00AB2F6D">
      <w:pPr>
        <w:spacing w:after="0" w:line="240" w:lineRule="auto"/>
        <w:jc w:val="both"/>
      </w:pPr>
      <w:r w:rsidRPr="007955BC">
        <w:t>Председател</w:t>
      </w:r>
      <w:r w:rsidR="00AB2F6D" w:rsidRPr="007955BC">
        <w:t xml:space="preserve">ь </w:t>
      </w:r>
      <w:r w:rsidRPr="007955BC">
        <w:t>постоянной комиссии</w:t>
      </w:r>
    </w:p>
    <w:p w:rsidR="00AB2F6D" w:rsidRPr="007955BC" w:rsidRDefault="00AB2F6D" w:rsidP="00AB2F6D">
      <w:pPr>
        <w:spacing w:after="0" w:line="240" w:lineRule="auto"/>
        <w:jc w:val="both"/>
      </w:pPr>
      <w:r w:rsidRPr="007955BC">
        <w:t>Государственного Совета</w:t>
      </w:r>
    </w:p>
    <w:p w:rsidR="00AB2F6D" w:rsidRPr="007955BC" w:rsidRDefault="00AB2F6D" w:rsidP="00AB2F6D">
      <w:pPr>
        <w:spacing w:after="0" w:line="240" w:lineRule="auto"/>
        <w:jc w:val="both"/>
      </w:pPr>
      <w:r w:rsidRPr="007955BC">
        <w:t>Удмуртской Республики</w:t>
      </w:r>
    </w:p>
    <w:p w:rsidR="00991A7E" w:rsidRPr="007955BC" w:rsidRDefault="00370889" w:rsidP="00AB2F6D">
      <w:pPr>
        <w:spacing w:after="0" w:line="240" w:lineRule="auto"/>
        <w:jc w:val="both"/>
      </w:pPr>
      <w:r>
        <w:t>п</w:t>
      </w:r>
      <w:r w:rsidR="00AB2F6D" w:rsidRPr="007955BC">
        <w:t xml:space="preserve">о бюджету, налогам и </w:t>
      </w:r>
      <w:proofErr w:type="gramStart"/>
      <w:r w:rsidR="00AB2F6D" w:rsidRPr="007955BC">
        <w:t xml:space="preserve">финансам  </w:t>
      </w:r>
      <w:r w:rsidR="00AB2F6D" w:rsidRPr="007955BC">
        <w:tab/>
      </w:r>
      <w:proofErr w:type="gramEnd"/>
      <w:r w:rsidR="00AB2F6D" w:rsidRPr="007955BC">
        <w:tab/>
      </w:r>
      <w:r w:rsidR="00AB2F6D" w:rsidRPr="007955BC">
        <w:tab/>
      </w:r>
      <w:r w:rsidR="00AB2F6D" w:rsidRPr="007955BC">
        <w:tab/>
        <w:t xml:space="preserve">            </w:t>
      </w:r>
      <w:r w:rsidR="007955BC">
        <w:t xml:space="preserve">         </w:t>
      </w:r>
      <w:proofErr w:type="spellStart"/>
      <w:r w:rsidR="00AB2F6D" w:rsidRPr="007955BC">
        <w:t>Ю.А.Тюрин</w:t>
      </w:r>
      <w:proofErr w:type="spellEnd"/>
    </w:p>
    <w:sectPr w:rsidR="00991A7E" w:rsidRPr="007955BC" w:rsidSect="007C73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B5" w:rsidRDefault="005F7DB5" w:rsidP="007C730F">
      <w:pPr>
        <w:spacing w:after="0" w:line="240" w:lineRule="auto"/>
      </w:pPr>
      <w:r>
        <w:separator/>
      </w:r>
    </w:p>
  </w:endnote>
  <w:endnote w:type="continuationSeparator" w:id="0">
    <w:p w:rsidR="005F7DB5" w:rsidRDefault="005F7DB5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C" w:rsidRPr="00C05E51" w:rsidRDefault="00E964DC">
    <w:pPr>
      <w:pStyle w:val="ae"/>
      <w:jc w:val="center"/>
      <w:rPr>
        <w:sz w:val="24"/>
        <w:szCs w:val="24"/>
      </w:rPr>
    </w:pPr>
  </w:p>
  <w:p w:rsidR="00E964DC" w:rsidRDefault="00E964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B5" w:rsidRDefault="005F7DB5" w:rsidP="007C730F">
      <w:pPr>
        <w:spacing w:after="0" w:line="240" w:lineRule="auto"/>
      </w:pPr>
      <w:r>
        <w:separator/>
      </w:r>
    </w:p>
  </w:footnote>
  <w:footnote w:type="continuationSeparator" w:id="0">
    <w:p w:rsidR="005F7DB5" w:rsidRDefault="005F7DB5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C" w:rsidRDefault="003F4F5C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E964DC">
          <w:tab/>
        </w:r>
        <w:r w:rsidR="003E3877" w:rsidRPr="00932CB7">
          <w:rPr>
            <w:sz w:val="24"/>
            <w:szCs w:val="24"/>
          </w:rPr>
          <w:fldChar w:fldCharType="begin"/>
        </w:r>
        <w:r w:rsidR="00E964DC" w:rsidRPr="00932CB7">
          <w:rPr>
            <w:sz w:val="24"/>
            <w:szCs w:val="24"/>
          </w:rPr>
          <w:instrText xml:space="preserve"> PAGE   \* MERGEFORMAT </w:instrText>
        </w:r>
        <w:r w:rsidR="003E3877" w:rsidRPr="00932C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3E3877" w:rsidRPr="00932CB7">
          <w:rPr>
            <w:sz w:val="24"/>
            <w:szCs w:val="24"/>
          </w:rPr>
          <w:fldChar w:fldCharType="end"/>
        </w:r>
      </w:sdtContent>
    </w:sdt>
    <w:r w:rsidR="00E964D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2"/>
    <w:rsid w:val="00046223"/>
    <w:rsid w:val="0007039F"/>
    <w:rsid w:val="00072883"/>
    <w:rsid w:val="0008199A"/>
    <w:rsid w:val="00081E95"/>
    <w:rsid w:val="00081FB4"/>
    <w:rsid w:val="00081FBC"/>
    <w:rsid w:val="000858BE"/>
    <w:rsid w:val="000A0DA8"/>
    <w:rsid w:val="000A59DB"/>
    <w:rsid w:val="000A5D42"/>
    <w:rsid w:val="000A71C9"/>
    <w:rsid w:val="000A7828"/>
    <w:rsid w:val="000B3C4F"/>
    <w:rsid w:val="000B6244"/>
    <w:rsid w:val="000C731D"/>
    <w:rsid w:val="000C75EB"/>
    <w:rsid w:val="000D3CC7"/>
    <w:rsid w:val="000E21D9"/>
    <w:rsid w:val="00114631"/>
    <w:rsid w:val="00134A52"/>
    <w:rsid w:val="001401C3"/>
    <w:rsid w:val="00143335"/>
    <w:rsid w:val="0015166B"/>
    <w:rsid w:val="00151FD6"/>
    <w:rsid w:val="00157DFD"/>
    <w:rsid w:val="0016724D"/>
    <w:rsid w:val="0017228B"/>
    <w:rsid w:val="00187A6B"/>
    <w:rsid w:val="001A197C"/>
    <w:rsid w:val="001B407D"/>
    <w:rsid w:val="001C2CDA"/>
    <w:rsid w:val="001C5830"/>
    <w:rsid w:val="001D11BC"/>
    <w:rsid w:val="001D3F38"/>
    <w:rsid w:val="001E71A9"/>
    <w:rsid w:val="001E7DA8"/>
    <w:rsid w:val="002042E8"/>
    <w:rsid w:val="0021181D"/>
    <w:rsid w:val="00213289"/>
    <w:rsid w:val="00215751"/>
    <w:rsid w:val="00221EBE"/>
    <w:rsid w:val="00225877"/>
    <w:rsid w:val="00236864"/>
    <w:rsid w:val="0025631D"/>
    <w:rsid w:val="002977D8"/>
    <w:rsid w:val="002A1B64"/>
    <w:rsid w:val="002B6562"/>
    <w:rsid w:val="002D55BB"/>
    <w:rsid w:val="002F2713"/>
    <w:rsid w:val="002F2998"/>
    <w:rsid w:val="00310838"/>
    <w:rsid w:val="00312BB4"/>
    <w:rsid w:val="003211FE"/>
    <w:rsid w:val="00337955"/>
    <w:rsid w:val="00343B3D"/>
    <w:rsid w:val="003451A0"/>
    <w:rsid w:val="00353543"/>
    <w:rsid w:val="00370889"/>
    <w:rsid w:val="003752EA"/>
    <w:rsid w:val="0038268F"/>
    <w:rsid w:val="003903D5"/>
    <w:rsid w:val="00391097"/>
    <w:rsid w:val="00395EC7"/>
    <w:rsid w:val="003A643C"/>
    <w:rsid w:val="003C4744"/>
    <w:rsid w:val="003C7362"/>
    <w:rsid w:val="003E1137"/>
    <w:rsid w:val="003E3877"/>
    <w:rsid w:val="003E5BE5"/>
    <w:rsid w:val="003F4F5C"/>
    <w:rsid w:val="004155B9"/>
    <w:rsid w:val="00434FF8"/>
    <w:rsid w:val="00442C96"/>
    <w:rsid w:val="00446418"/>
    <w:rsid w:val="00466B43"/>
    <w:rsid w:val="004676AB"/>
    <w:rsid w:val="00473714"/>
    <w:rsid w:val="00482C28"/>
    <w:rsid w:val="00495930"/>
    <w:rsid w:val="004A50FF"/>
    <w:rsid w:val="004B0D79"/>
    <w:rsid w:val="004B4394"/>
    <w:rsid w:val="004B6810"/>
    <w:rsid w:val="004D43B2"/>
    <w:rsid w:val="004E1A20"/>
    <w:rsid w:val="005168E4"/>
    <w:rsid w:val="00517E1B"/>
    <w:rsid w:val="005210BC"/>
    <w:rsid w:val="00530F95"/>
    <w:rsid w:val="005332C6"/>
    <w:rsid w:val="00537A94"/>
    <w:rsid w:val="00571B91"/>
    <w:rsid w:val="00576332"/>
    <w:rsid w:val="0058036A"/>
    <w:rsid w:val="005940BE"/>
    <w:rsid w:val="005A6F6F"/>
    <w:rsid w:val="005B6B0E"/>
    <w:rsid w:val="005D083A"/>
    <w:rsid w:val="005D1298"/>
    <w:rsid w:val="005E1107"/>
    <w:rsid w:val="005E1D83"/>
    <w:rsid w:val="005E5C3C"/>
    <w:rsid w:val="005E65C6"/>
    <w:rsid w:val="005F7DB5"/>
    <w:rsid w:val="006006FC"/>
    <w:rsid w:val="0060352D"/>
    <w:rsid w:val="00613154"/>
    <w:rsid w:val="00621725"/>
    <w:rsid w:val="00623061"/>
    <w:rsid w:val="006513A3"/>
    <w:rsid w:val="0065146A"/>
    <w:rsid w:val="00682549"/>
    <w:rsid w:val="00683F82"/>
    <w:rsid w:val="006B2183"/>
    <w:rsid w:val="006D186C"/>
    <w:rsid w:val="006D24FF"/>
    <w:rsid w:val="006D2EB1"/>
    <w:rsid w:val="006D4B43"/>
    <w:rsid w:val="006E584B"/>
    <w:rsid w:val="00704609"/>
    <w:rsid w:val="00713D39"/>
    <w:rsid w:val="00717522"/>
    <w:rsid w:val="00717E0E"/>
    <w:rsid w:val="0072780B"/>
    <w:rsid w:val="00732418"/>
    <w:rsid w:val="00745969"/>
    <w:rsid w:val="00753173"/>
    <w:rsid w:val="00780551"/>
    <w:rsid w:val="00784423"/>
    <w:rsid w:val="00791C81"/>
    <w:rsid w:val="007955BC"/>
    <w:rsid w:val="00796E28"/>
    <w:rsid w:val="007C55BD"/>
    <w:rsid w:val="007C6B66"/>
    <w:rsid w:val="007C730F"/>
    <w:rsid w:val="007D4921"/>
    <w:rsid w:val="007D755A"/>
    <w:rsid w:val="00825453"/>
    <w:rsid w:val="008268A8"/>
    <w:rsid w:val="0083517C"/>
    <w:rsid w:val="008451EE"/>
    <w:rsid w:val="00845FC0"/>
    <w:rsid w:val="00846129"/>
    <w:rsid w:val="00850961"/>
    <w:rsid w:val="008812F5"/>
    <w:rsid w:val="00882EF3"/>
    <w:rsid w:val="00883906"/>
    <w:rsid w:val="00883D5E"/>
    <w:rsid w:val="00885468"/>
    <w:rsid w:val="0088796F"/>
    <w:rsid w:val="00890A33"/>
    <w:rsid w:val="0089585A"/>
    <w:rsid w:val="008A71F8"/>
    <w:rsid w:val="008B7ACC"/>
    <w:rsid w:val="008C08B7"/>
    <w:rsid w:val="008C104B"/>
    <w:rsid w:val="00902B83"/>
    <w:rsid w:val="0090328A"/>
    <w:rsid w:val="00904520"/>
    <w:rsid w:val="00915E4A"/>
    <w:rsid w:val="00932CB7"/>
    <w:rsid w:val="009739E2"/>
    <w:rsid w:val="00991A7E"/>
    <w:rsid w:val="00994433"/>
    <w:rsid w:val="009A2942"/>
    <w:rsid w:val="009B6B4A"/>
    <w:rsid w:val="009E565F"/>
    <w:rsid w:val="009F4034"/>
    <w:rsid w:val="00A02255"/>
    <w:rsid w:val="00A02760"/>
    <w:rsid w:val="00A02C05"/>
    <w:rsid w:val="00A131BA"/>
    <w:rsid w:val="00A53F56"/>
    <w:rsid w:val="00A73D9B"/>
    <w:rsid w:val="00A743A3"/>
    <w:rsid w:val="00A8092D"/>
    <w:rsid w:val="00AA26A6"/>
    <w:rsid w:val="00AA5BCC"/>
    <w:rsid w:val="00AB2F6D"/>
    <w:rsid w:val="00AC36B3"/>
    <w:rsid w:val="00AD221C"/>
    <w:rsid w:val="00AE567F"/>
    <w:rsid w:val="00AE699C"/>
    <w:rsid w:val="00AF14D9"/>
    <w:rsid w:val="00B013B6"/>
    <w:rsid w:val="00B10545"/>
    <w:rsid w:val="00B15C9A"/>
    <w:rsid w:val="00B17899"/>
    <w:rsid w:val="00B2754F"/>
    <w:rsid w:val="00B357F4"/>
    <w:rsid w:val="00B5451B"/>
    <w:rsid w:val="00B63971"/>
    <w:rsid w:val="00B64073"/>
    <w:rsid w:val="00B6669F"/>
    <w:rsid w:val="00BA2962"/>
    <w:rsid w:val="00BA5072"/>
    <w:rsid w:val="00BC42EB"/>
    <w:rsid w:val="00BC519A"/>
    <w:rsid w:val="00C05E51"/>
    <w:rsid w:val="00C07575"/>
    <w:rsid w:val="00C24F8E"/>
    <w:rsid w:val="00C348D7"/>
    <w:rsid w:val="00C34D8A"/>
    <w:rsid w:val="00C40D65"/>
    <w:rsid w:val="00C44560"/>
    <w:rsid w:val="00C8242F"/>
    <w:rsid w:val="00CB333A"/>
    <w:rsid w:val="00CB37E7"/>
    <w:rsid w:val="00CB4170"/>
    <w:rsid w:val="00CB733C"/>
    <w:rsid w:val="00CC4F48"/>
    <w:rsid w:val="00CD5537"/>
    <w:rsid w:val="00CD63D7"/>
    <w:rsid w:val="00CF2B32"/>
    <w:rsid w:val="00D07945"/>
    <w:rsid w:val="00D1438C"/>
    <w:rsid w:val="00D26B58"/>
    <w:rsid w:val="00D27A0F"/>
    <w:rsid w:val="00D338FE"/>
    <w:rsid w:val="00D3649B"/>
    <w:rsid w:val="00D51FF7"/>
    <w:rsid w:val="00D54750"/>
    <w:rsid w:val="00D552BD"/>
    <w:rsid w:val="00D70225"/>
    <w:rsid w:val="00D90B79"/>
    <w:rsid w:val="00D94415"/>
    <w:rsid w:val="00D97045"/>
    <w:rsid w:val="00D97626"/>
    <w:rsid w:val="00DA6AEB"/>
    <w:rsid w:val="00DB1E45"/>
    <w:rsid w:val="00DB5526"/>
    <w:rsid w:val="00DD0D94"/>
    <w:rsid w:val="00DE1685"/>
    <w:rsid w:val="00DE1C7D"/>
    <w:rsid w:val="00DF1E97"/>
    <w:rsid w:val="00DF6FB3"/>
    <w:rsid w:val="00E0663C"/>
    <w:rsid w:val="00E1313F"/>
    <w:rsid w:val="00E17E63"/>
    <w:rsid w:val="00E26FEC"/>
    <w:rsid w:val="00E365B5"/>
    <w:rsid w:val="00E3760F"/>
    <w:rsid w:val="00E46E44"/>
    <w:rsid w:val="00E47972"/>
    <w:rsid w:val="00E82330"/>
    <w:rsid w:val="00E90270"/>
    <w:rsid w:val="00E920D4"/>
    <w:rsid w:val="00E925A8"/>
    <w:rsid w:val="00E964DC"/>
    <w:rsid w:val="00EA2489"/>
    <w:rsid w:val="00EC7258"/>
    <w:rsid w:val="00ED3A49"/>
    <w:rsid w:val="00ED3C8F"/>
    <w:rsid w:val="00ED70A5"/>
    <w:rsid w:val="00F210BA"/>
    <w:rsid w:val="00F236A8"/>
    <w:rsid w:val="00F2781E"/>
    <w:rsid w:val="00F31639"/>
    <w:rsid w:val="00F47D8B"/>
    <w:rsid w:val="00F50F0F"/>
    <w:rsid w:val="00F533AA"/>
    <w:rsid w:val="00F539FC"/>
    <w:rsid w:val="00F67A77"/>
    <w:rsid w:val="00F87A02"/>
    <w:rsid w:val="00F930B2"/>
    <w:rsid w:val="00F95F9E"/>
    <w:rsid w:val="00F961A6"/>
    <w:rsid w:val="00FA2080"/>
    <w:rsid w:val="00FB7AA1"/>
    <w:rsid w:val="00FC1915"/>
    <w:rsid w:val="00FC539C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00EA-B06D-4A41-8BAD-8459AEB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3888-90DE-4180-94E3-B1C472D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13</cp:revision>
  <cp:lastPrinted>2018-06-14T08:29:00Z</cp:lastPrinted>
  <dcterms:created xsi:type="dcterms:W3CDTF">2018-06-09T04:34:00Z</dcterms:created>
  <dcterms:modified xsi:type="dcterms:W3CDTF">2018-06-14T08:49:00Z</dcterms:modified>
</cp:coreProperties>
</file>